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CB0" w:rsidRDefault="00EA0CB0" w:rsidP="00EA0CB0">
      <w:pPr>
        <w:pStyle w:val="Title"/>
        <w:rPr>
          <w:rFonts w:ascii="Times New Roman" w:hAnsi="Times New Roman" w:cs="Times New Roman"/>
          <w:sz w:val="28"/>
          <w:szCs w:val="28"/>
        </w:rPr>
      </w:pPr>
    </w:p>
    <w:p w:rsidR="00EA0CB0" w:rsidRDefault="00EA0CB0" w:rsidP="00EA0CB0">
      <w:pPr>
        <w:pStyle w:val="Title"/>
        <w:rPr>
          <w:rFonts w:ascii="Times New Roman" w:hAnsi="Times New Roman" w:cs="Times New Roman"/>
          <w:sz w:val="28"/>
          <w:szCs w:val="28"/>
        </w:rPr>
      </w:pPr>
    </w:p>
    <w:p w:rsidR="00EA0CB0" w:rsidRDefault="00EA0CB0" w:rsidP="00EA0CB0">
      <w:pPr>
        <w:pStyle w:val="Title"/>
        <w:rPr>
          <w:rFonts w:ascii="Times New Roman" w:hAnsi="Times New Roman" w:cs="Times New Roman"/>
          <w:sz w:val="28"/>
          <w:szCs w:val="28"/>
        </w:rPr>
      </w:pPr>
    </w:p>
    <w:p w:rsidR="00EA0CB0" w:rsidRDefault="00EA0CB0" w:rsidP="00EA0CB0">
      <w:pPr>
        <w:pStyle w:val="Title"/>
        <w:rPr>
          <w:rFonts w:ascii="Times New Roman" w:hAnsi="Times New Roman" w:cs="Times New Roman"/>
          <w:sz w:val="28"/>
          <w:szCs w:val="28"/>
        </w:rPr>
      </w:pPr>
    </w:p>
    <w:p w:rsidR="00EA0CB0" w:rsidRDefault="00EA0CB0" w:rsidP="00EA0CB0">
      <w:pPr>
        <w:pStyle w:val="Title"/>
        <w:rPr>
          <w:rFonts w:ascii="Times New Roman" w:hAnsi="Times New Roman" w:cs="Times New Roman"/>
          <w:sz w:val="28"/>
          <w:szCs w:val="28"/>
        </w:rPr>
      </w:pPr>
    </w:p>
    <w:p w:rsidR="00EA0CB0" w:rsidRDefault="00EA0CB0" w:rsidP="00EA0CB0">
      <w:pPr>
        <w:pStyle w:val="Title"/>
        <w:rPr>
          <w:rFonts w:ascii="Times New Roman" w:hAnsi="Times New Roman" w:cs="Times New Roman"/>
          <w:sz w:val="28"/>
          <w:szCs w:val="28"/>
        </w:rPr>
      </w:pPr>
    </w:p>
    <w:p w:rsidR="00EA0CB0" w:rsidRDefault="00EA0CB0" w:rsidP="00EA0CB0">
      <w:pPr>
        <w:pStyle w:val="Title"/>
        <w:rPr>
          <w:rFonts w:ascii="Times New Roman" w:hAnsi="Times New Roman" w:cs="Times New Roman"/>
          <w:sz w:val="28"/>
          <w:szCs w:val="28"/>
        </w:rPr>
      </w:pPr>
    </w:p>
    <w:p w:rsidR="00EA0CB0" w:rsidRDefault="00EA0CB0" w:rsidP="00EA0CB0">
      <w:pPr>
        <w:pStyle w:val="Title"/>
        <w:rPr>
          <w:rFonts w:ascii="Times New Roman" w:hAnsi="Times New Roman" w:cs="Times New Roman"/>
          <w:sz w:val="28"/>
          <w:szCs w:val="28"/>
        </w:rPr>
      </w:pPr>
    </w:p>
    <w:p w:rsidR="00EA0CB0" w:rsidRDefault="00EA0CB0" w:rsidP="00EA0CB0">
      <w:pPr>
        <w:pStyle w:val="Title"/>
        <w:rPr>
          <w:rFonts w:ascii="Times New Roman" w:hAnsi="Times New Roman" w:cs="Times New Roman"/>
          <w:sz w:val="28"/>
          <w:szCs w:val="28"/>
        </w:rPr>
      </w:pPr>
    </w:p>
    <w:p w:rsidR="00EA0CB0" w:rsidRDefault="00EA0CB0" w:rsidP="00EA0CB0">
      <w:pPr>
        <w:pStyle w:val="Title"/>
        <w:rPr>
          <w:rFonts w:ascii="Times New Roman" w:hAnsi="Times New Roman" w:cs="Times New Roman"/>
          <w:sz w:val="28"/>
          <w:szCs w:val="28"/>
        </w:rPr>
      </w:pPr>
    </w:p>
    <w:p w:rsidR="00EA0CB0" w:rsidRDefault="00EA0CB0" w:rsidP="00EA0CB0">
      <w:pPr>
        <w:pStyle w:val="Title"/>
        <w:rPr>
          <w:rFonts w:ascii="Times New Roman" w:hAnsi="Times New Roman" w:cs="Times New Roman"/>
          <w:sz w:val="28"/>
          <w:szCs w:val="28"/>
        </w:rPr>
      </w:pPr>
    </w:p>
    <w:p w:rsidR="00EA0CB0" w:rsidRDefault="00EA0CB0" w:rsidP="00EA0CB0">
      <w:pPr>
        <w:pStyle w:val="Title"/>
        <w:rPr>
          <w:rFonts w:ascii="Times New Roman" w:hAnsi="Times New Roman" w:cs="Times New Roman"/>
          <w:sz w:val="28"/>
          <w:szCs w:val="28"/>
        </w:rPr>
      </w:pPr>
    </w:p>
    <w:p w:rsidR="00EA0CB0" w:rsidRDefault="00EA0CB0" w:rsidP="00EA0CB0">
      <w:pPr>
        <w:pStyle w:val="Title"/>
        <w:rPr>
          <w:rFonts w:ascii="Times New Roman" w:hAnsi="Times New Roman" w:cs="Times New Roman"/>
          <w:sz w:val="28"/>
          <w:szCs w:val="28"/>
        </w:rPr>
      </w:pPr>
    </w:p>
    <w:p w:rsidR="00EA0CB0" w:rsidRDefault="00EA0CB0" w:rsidP="00EA0CB0">
      <w:pPr>
        <w:pStyle w:val="Title"/>
        <w:rPr>
          <w:rFonts w:ascii="Times New Roman" w:hAnsi="Times New Roman" w:cs="Times New Roman"/>
          <w:sz w:val="28"/>
          <w:szCs w:val="28"/>
        </w:rPr>
      </w:pPr>
    </w:p>
    <w:p w:rsidR="00EA0CB0" w:rsidRDefault="00EA0CB0" w:rsidP="00EA0CB0">
      <w:pPr>
        <w:pStyle w:val="Title"/>
        <w:rPr>
          <w:rFonts w:ascii="Times New Roman" w:hAnsi="Times New Roman" w:cs="Times New Roman"/>
          <w:sz w:val="28"/>
          <w:szCs w:val="28"/>
        </w:rPr>
      </w:pPr>
    </w:p>
    <w:p w:rsidR="009F191B" w:rsidRDefault="009F191B" w:rsidP="00EA0CB0">
      <w:pPr>
        <w:pStyle w:val="Title"/>
        <w:rPr>
          <w:rFonts w:ascii="Times New Roman" w:hAnsi="Times New Roman" w:cs="Times New Roman"/>
          <w:sz w:val="28"/>
          <w:szCs w:val="28"/>
        </w:rPr>
      </w:pPr>
    </w:p>
    <w:p w:rsidR="00995BA4" w:rsidRDefault="00995BA4" w:rsidP="00EA0CB0">
      <w:pPr>
        <w:pStyle w:val="Title"/>
        <w:rPr>
          <w:rFonts w:ascii="Times New Roman" w:hAnsi="Times New Roman" w:cs="Times New Roman"/>
          <w:sz w:val="28"/>
          <w:szCs w:val="28"/>
        </w:rPr>
      </w:pPr>
    </w:p>
    <w:p w:rsidR="00EA0CB0" w:rsidRPr="00B04FA6" w:rsidRDefault="00EA0CB0" w:rsidP="00EA0CB0">
      <w:pPr>
        <w:pStyle w:val="Title"/>
        <w:rPr>
          <w:rFonts w:ascii="Times New Roman" w:hAnsi="Times New Roman" w:cs="Times New Roman"/>
          <w:sz w:val="28"/>
          <w:szCs w:val="28"/>
        </w:rPr>
      </w:pPr>
      <w:r w:rsidRPr="00B04FA6">
        <w:rPr>
          <w:rFonts w:ascii="Times New Roman" w:hAnsi="Times New Roman" w:cs="Times New Roman"/>
          <w:sz w:val="28"/>
          <w:szCs w:val="28"/>
        </w:rPr>
        <w:t>Evaluating the Use of MRI and PET in Diagnosing Dementia</w:t>
      </w:r>
    </w:p>
    <w:p w:rsidR="00EA0CB0" w:rsidRPr="00B04FA6" w:rsidRDefault="00EA0CB0" w:rsidP="00EA0CB0">
      <w:pPr>
        <w:pStyle w:val="Title"/>
        <w:rPr>
          <w:rFonts w:ascii="Times New Roman" w:hAnsi="Times New Roman" w:cs="Times New Roman"/>
          <w:sz w:val="28"/>
          <w:szCs w:val="28"/>
        </w:rPr>
      </w:pPr>
      <w:r w:rsidRPr="00B04FA6">
        <w:rPr>
          <w:rFonts w:ascii="Times New Roman" w:hAnsi="Times New Roman" w:cs="Times New Roman"/>
          <w:sz w:val="28"/>
          <w:szCs w:val="28"/>
        </w:rPr>
        <w:t>Laura J. Trimboli</w:t>
      </w:r>
    </w:p>
    <w:p w:rsidR="00EA0CB0" w:rsidRPr="00B04FA6" w:rsidRDefault="00EA0CB0" w:rsidP="00EA0CB0">
      <w:pPr>
        <w:pStyle w:val="Title"/>
        <w:rPr>
          <w:rFonts w:ascii="Times New Roman" w:hAnsi="Times New Roman" w:cs="Times New Roman"/>
          <w:sz w:val="28"/>
          <w:szCs w:val="28"/>
        </w:rPr>
      </w:pPr>
      <w:r w:rsidRPr="00B04FA6">
        <w:rPr>
          <w:rFonts w:ascii="Times New Roman" w:hAnsi="Times New Roman" w:cs="Times New Roman"/>
          <w:sz w:val="28"/>
          <w:szCs w:val="28"/>
        </w:rPr>
        <w:t>CMMC College of Nursing &amp; Health Professionals</w:t>
      </w:r>
    </w:p>
    <w:p w:rsidR="00EA0CB0" w:rsidRDefault="00EA0CB0" w:rsidP="00B16E47">
      <w:pPr>
        <w:spacing w:line="480" w:lineRule="auto"/>
        <w:ind w:firstLine="720"/>
      </w:pPr>
    </w:p>
    <w:p w:rsidR="00EA0CB0" w:rsidRDefault="00EA0CB0" w:rsidP="00B16E47">
      <w:pPr>
        <w:spacing w:line="480" w:lineRule="auto"/>
        <w:ind w:firstLine="720"/>
      </w:pPr>
    </w:p>
    <w:p w:rsidR="00EA0CB0" w:rsidRDefault="00EA0CB0" w:rsidP="00B16E47">
      <w:pPr>
        <w:spacing w:line="480" w:lineRule="auto"/>
        <w:ind w:firstLine="720"/>
      </w:pPr>
    </w:p>
    <w:p w:rsidR="00EA0CB0" w:rsidRDefault="00EA0CB0" w:rsidP="00B16E47">
      <w:pPr>
        <w:spacing w:line="480" w:lineRule="auto"/>
        <w:ind w:firstLine="720"/>
      </w:pPr>
    </w:p>
    <w:p w:rsidR="00EA0CB0" w:rsidRDefault="00EA0CB0" w:rsidP="00B16E47">
      <w:pPr>
        <w:spacing w:line="480" w:lineRule="auto"/>
        <w:ind w:firstLine="720"/>
      </w:pPr>
    </w:p>
    <w:p w:rsidR="00EA0CB0" w:rsidRDefault="00EA0CB0" w:rsidP="00B16E47">
      <w:pPr>
        <w:spacing w:line="480" w:lineRule="auto"/>
        <w:ind w:firstLine="720"/>
      </w:pPr>
    </w:p>
    <w:p w:rsidR="00EA0CB0" w:rsidRDefault="00EA0CB0" w:rsidP="00B16E47">
      <w:pPr>
        <w:spacing w:line="480" w:lineRule="auto"/>
        <w:ind w:firstLine="720"/>
      </w:pPr>
    </w:p>
    <w:p w:rsidR="00EA0CB0" w:rsidRDefault="00EA0CB0" w:rsidP="00B16E47">
      <w:pPr>
        <w:spacing w:line="480" w:lineRule="auto"/>
        <w:ind w:firstLine="720"/>
      </w:pPr>
    </w:p>
    <w:p w:rsidR="00EA0CB0" w:rsidRDefault="00EA0CB0" w:rsidP="00B16E47">
      <w:pPr>
        <w:spacing w:line="480" w:lineRule="auto"/>
        <w:ind w:firstLine="720"/>
      </w:pPr>
    </w:p>
    <w:p w:rsidR="00EA0CB0" w:rsidRDefault="00EA0CB0" w:rsidP="00B16E47">
      <w:pPr>
        <w:spacing w:line="480" w:lineRule="auto"/>
        <w:ind w:firstLine="720"/>
      </w:pPr>
    </w:p>
    <w:p w:rsidR="00EA0CB0" w:rsidRDefault="00EA0CB0" w:rsidP="00B16E47">
      <w:pPr>
        <w:spacing w:line="480" w:lineRule="auto"/>
        <w:ind w:firstLine="720"/>
      </w:pPr>
    </w:p>
    <w:p w:rsidR="00B16E47" w:rsidRDefault="0041281A" w:rsidP="00B16E47">
      <w:pPr>
        <w:spacing w:line="480" w:lineRule="auto"/>
        <w:ind w:firstLine="720"/>
      </w:pPr>
      <w:r w:rsidRPr="002F5EE2">
        <w:lastRenderedPageBreak/>
        <w:t>One of the loneliest diseases plaguing people in the world today is Alzheimer’s disease</w:t>
      </w:r>
      <w:r w:rsidR="000220E8" w:rsidRPr="002F5EE2">
        <w:t>, a cause of dementia.  I</w:t>
      </w:r>
      <w:r w:rsidRPr="002F5EE2">
        <w:t>t is estimated that 5.3 million people suffer from the disease in the United States alone</w:t>
      </w:r>
      <w:r w:rsidR="000220E8" w:rsidRPr="002F5EE2">
        <w:t xml:space="preserve"> (Alzheimer’s Association)</w:t>
      </w:r>
      <w:r w:rsidRPr="002F5EE2">
        <w:t xml:space="preserve">.  </w:t>
      </w:r>
      <w:r w:rsidR="004D59C4">
        <w:t>Alzheimer’s disease</w:t>
      </w:r>
      <w:r w:rsidRPr="002F5EE2">
        <w:t xml:space="preserve">, like many dementias, is a progressive disease that affects the brain.  Brain function is affected by the death of nerve cells and deterioration of brain tissue.  </w:t>
      </w:r>
      <w:r w:rsidR="00B16E47" w:rsidRPr="002F5EE2">
        <w:t>Th</w:t>
      </w:r>
      <w:r w:rsidR="00B16E47">
        <w:t>is</w:t>
      </w:r>
      <w:r w:rsidR="00B16E47" w:rsidRPr="002F5EE2">
        <w:t xml:space="preserve"> </w:t>
      </w:r>
      <w:r w:rsidR="00B16E47">
        <w:t xml:space="preserve">paper will explore and evaluate some of the </w:t>
      </w:r>
      <w:proofErr w:type="spellStart"/>
      <w:r w:rsidR="00B16E47">
        <w:t>neuroimaging</w:t>
      </w:r>
      <w:proofErr w:type="spellEnd"/>
      <w:r w:rsidR="00B16E47">
        <w:t xml:space="preserve"> techniques used to aid in the diagnosis of Alzheimer’s disease and dementia, specifically structural and functional Magnetic Resonance Imaging (MRI), and Positron Emission Tomography (PET).</w:t>
      </w:r>
    </w:p>
    <w:p w:rsidR="000220E8" w:rsidRPr="002F5EE2" w:rsidRDefault="000220E8" w:rsidP="000220E8">
      <w:pPr>
        <w:spacing w:line="480" w:lineRule="auto"/>
        <w:ind w:firstLine="720"/>
      </w:pPr>
      <w:r w:rsidRPr="002F5EE2">
        <w:t>The Alzheimer’s Association estimates that 50 to 70 percent of dementia cases are Alzheimer’s.  It is the 7</w:t>
      </w:r>
      <w:r w:rsidRPr="002F5EE2">
        <w:rPr>
          <w:vertAlign w:val="superscript"/>
        </w:rPr>
        <w:t>th</w:t>
      </w:r>
      <w:r w:rsidRPr="002F5EE2">
        <w:t xml:space="preserve"> le</w:t>
      </w:r>
      <w:r w:rsidR="00FD09E1">
        <w:t>ad</w:t>
      </w:r>
      <w:r w:rsidRPr="002F5EE2">
        <w:t>ing cause of death in the United States and has a price tag of 172 billion dollars in annual costs.  It is one of the most commonly studied causes of degenerative brain function, yet no definitive diagnosis</w:t>
      </w:r>
      <w:r w:rsidR="006303EF">
        <w:t xml:space="preserve"> using neuroimaging </w:t>
      </w:r>
      <w:r w:rsidRPr="002F5EE2">
        <w:t xml:space="preserve">exists for living beings, and is usually only diagnosed </w:t>
      </w:r>
      <w:r w:rsidR="00157952">
        <w:t>after other causes are excluded</w:t>
      </w:r>
      <w:r w:rsidRPr="002F5EE2">
        <w:t xml:space="preserve"> (Mistur et al., 2009).  </w:t>
      </w:r>
    </w:p>
    <w:p w:rsidR="00452778" w:rsidRDefault="000220E8" w:rsidP="00E4421B">
      <w:pPr>
        <w:spacing w:line="480" w:lineRule="auto"/>
        <w:ind w:firstLine="720"/>
      </w:pPr>
      <w:r w:rsidRPr="002F5EE2">
        <w:t xml:space="preserve">While </w:t>
      </w:r>
      <w:r w:rsidR="00FD09E1">
        <w:t>Alzheimer’s disease</w:t>
      </w:r>
      <w:r w:rsidRPr="002F5EE2">
        <w:t xml:space="preserve"> is the most common cause of dementia, it is not the </w:t>
      </w:r>
      <w:r w:rsidRPr="008849D6">
        <w:t>only</w:t>
      </w:r>
      <w:r w:rsidRPr="002F5EE2">
        <w:rPr>
          <w:i/>
        </w:rPr>
        <w:t xml:space="preserve"> </w:t>
      </w:r>
      <w:r w:rsidRPr="002F5EE2">
        <w:t>cause.</w:t>
      </w:r>
      <w:r w:rsidR="00073FD1" w:rsidRPr="002F5EE2">
        <w:t xml:space="preserve">  </w:t>
      </w:r>
      <w:r w:rsidRPr="002F5EE2">
        <w:t xml:space="preserve"> </w:t>
      </w:r>
      <w:r w:rsidR="00073FD1" w:rsidRPr="002F5EE2">
        <w:t xml:space="preserve">Dementia is not a specific disease, but rather a group of symptoms caused by various disorders or conditions that result in damaged brain cells.  Clinical symptoms can range from mild to severe and include memory loss, cognitive impairment, such as changes in mood, difficulty communicating, inability to plan or make appropriate judgments, poor follow through on tasks, and decline in motor function (Alzheimer’s Association).  Dementia was once thought to be a normal part of the aging process, but now can be attributed to both </w:t>
      </w:r>
      <w:r w:rsidR="00157952">
        <w:t>treatable</w:t>
      </w:r>
      <w:r w:rsidR="00073FD1" w:rsidRPr="002F5EE2">
        <w:t xml:space="preserve"> and non-reversible conditions.  </w:t>
      </w:r>
      <w:r w:rsidR="00073FD1" w:rsidRPr="002F5EE2">
        <w:rPr>
          <w:lang w:val="en-GB"/>
        </w:rPr>
        <w:t xml:space="preserve">Treatable conditions that can cause dementia include high fever, dehydration, vitamin deficiency, malnutrition, </w:t>
      </w:r>
      <w:r w:rsidR="00FD09E1">
        <w:rPr>
          <w:lang w:val="en-GB"/>
        </w:rPr>
        <w:t>adverse</w:t>
      </w:r>
      <w:r w:rsidR="00073FD1" w:rsidRPr="002F5EE2">
        <w:rPr>
          <w:lang w:val="en-GB"/>
        </w:rPr>
        <w:t xml:space="preserve"> reactions to medicines, trouble</w:t>
      </w:r>
      <w:r w:rsidR="00FD09E1">
        <w:rPr>
          <w:lang w:val="en-GB"/>
        </w:rPr>
        <w:t xml:space="preserve"> with the thyroid gland, or a head</w:t>
      </w:r>
      <w:r w:rsidR="00073FD1" w:rsidRPr="002F5EE2">
        <w:rPr>
          <w:lang w:val="en-GB"/>
        </w:rPr>
        <w:t xml:space="preserve"> injury</w:t>
      </w:r>
      <w:r w:rsidR="00157952">
        <w:rPr>
          <w:lang w:val="en-GB"/>
        </w:rPr>
        <w:t xml:space="preserve"> (Alzheimer’s Association)</w:t>
      </w:r>
      <w:r w:rsidR="00E4421B">
        <w:rPr>
          <w:lang w:val="en-GB"/>
        </w:rPr>
        <w:t>.</w:t>
      </w:r>
      <w:r w:rsidR="00452778">
        <w:rPr>
          <w:lang w:val="en-GB"/>
        </w:rPr>
        <w:t xml:space="preserve">  </w:t>
      </w:r>
      <w:r w:rsidR="00073FD1" w:rsidRPr="002F5EE2">
        <w:rPr>
          <w:lang w:val="en-GB"/>
        </w:rPr>
        <w:t xml:space="preserve">Conditions or diseases that cause </w:t>
      </w:r>
      <w:r w:rsidR="00073FD1" w:rsidRPr="002F5EE2">
        <w:rPr>
          <w:lang w:val="en-GB"/>
        </w:rPr>
        <w:lastRenderedPageBreak/>
        <w:t>irreversible dementia include Alzheimer's disease, Dementia with Lewy Bodies, Vascular dementia</w:t>
      </w:r>
      <w:r w:rsidR="00073FD1" w:rsidRPr="002F5EE2">
        <w:t xml:space="preserve">, Frontotemporal dementia, and Creutzfeldt-Jakob disease, among others (Alzheimer’s Association).  </w:t>
      </w:r>
    </w:p>
    <w:p w:rsidR="0007021F" w:rsidRDefault="00073FD1" w:rsidP="00E4421B">
      <w:pPr>
        <w:spacing w:line="480" w:lineRule="auto"/>
        <w:ind w:firstLine="720"/>
      </w:pPr>
      <w:r w:rsidRPr="002F5EE2">
        <w:t xml:space="preserve">Early </w:t>
      </w:r>
      <w:r w:rsidR="00A91EFD" w:rsidRPr="002F5EE2">
        <w:t xml:space="preserve">behavioral </w:t>
      </w:r>
      <w:r w:rsidR="00A72F02" w:rsidRPr="002F5EE2">
        <w:t>presentations of the various types of dementia are</w:t>
      </w:r>
      <w:r w:rsidR="00A91EFD" w:rsidRPr="002F5EE2">
        <w:t xml:space="preserve"> similar </w:t>
      </w:r>
      <w:r w:rsidR="00472F0B" w:rsidRPr="002F5EE2">
        <w:t>to</w:t>
      </w:r>
      <w:r w:rsidR="00A91EFD" w:rsidRPr="002F5EE2">
        <w:t xml:space="preserve"> one to another</w:t>
      </w:r>
      <w:r w:rsidRPr="002F5EE2">
        <w:t>, which creates difficulty in being able to clinica</w:t>
      </w:r>
      <w:r w:rsidR="00A72F02" w:rsidRPr="002F5EE2">
        <w:t>lly diagnose the specific cause</w:t>
      </w:r>
      <w:r w:rsidRPr="002F5EE2">
        <w:t xml:space="preserve"> based on </w:t>
      </w:r>
      <w:r w:rsidR="000E4B9B">
        <w:t xml:space="preserve">cognitive and behavioral </w:t>
      </w:r>
      <w:r w:rsidRPr="002F5EE2">
        <w:t xml:space="preserve">symptoms alone.  To make a complete diagnosis and provide treatment options, medical personnel must be able to </w:t>
      </w:r>
      <w:r w:rsidR="00A72F02" w:rsidRPr="002F5EE2">
        <w:t xml:space="preserve">discriminate </w:t>
      </w:r>
      <w:r w:rsidRPr="002F5EE2">
        <w:t xml:space="preserve">between each </w:t>
      </w:r>
      <w:r w:rsidR="00A72F02" w:rsidRPr="002F5EE2">
        <w:t>cause</w:t>
      </w:r>
      <w:r w:rsidRPr="002F5EE2">
        <w:t xml:space="preserve"> of dementia.  </w:t>
      </w:r>
      <w:r w:rsidR="006405F1" w:rsidRPr="002F5EE2">
        <w:t>Modern imaging techniques have revolutionized health professionals’ understanding of the brain by offering the opportunity to non-invasively study neuroanatomy and neurofunctioning in living participants</w:t>
      </w:r>
      <w:r w:rsidR="006405F1">
        <w:t xml:space="preserve">. </w:t>
      </w:r>
      <w:r w:rsidR="006405F1" w:rsidRPr="002F5EE2">
        <w:t xml:space="preserve"> </w:t>
      </w:r>
      <w:r w:rsidR="006405F1">
        <w:t>Because of this, n</w:t>
      </w:r>
      <w:r w:rsidR="0082515C" w:rsidRPr="002F5EE2">
        <w:t xml:space="preserve">euroimaging </w:t>
      </w:r>
      <w:r w:rsidRPr="002F5EE2">
        <w:t>can be an invaluable tool to the clinical diagnosis of dementia</w:t>
      </w:r>
      <w:r w:rsidR="006405F1">
        <w:t xml:space="preserve">, especially as these techniques </w:t>
      </w:r>
      <w:r w:rsidR="00444535">
        <w:t xml:space="preserve">are </w:t>
      </w:r>
      <w:r w:rsidR="006405F1">
        <w:t>develop</w:t>
      </w:r>
      <w:r w:rsidR="00444535">
        <w:t>ed</w:t>
      </w:r>
      <w:r w:rsidR="006405F1">
        <w:t xml:space="preserve"> and used</w:t>
      </w:r>
      <w:r w:rsidR="00444535">
        <w:t xml:space="preserve"> to detect precursors or early signs of </w:t>
      </w:r>
      <w:r w:rsidR="00154476">
        <w:t xml:space="preserve">Alzheimer’s </w:t>
      </w:r>
      <w:r w:rsidR="00444535">
        <w:t>disease</w:t>
      </w:r>
      <w:r w:rsidR="00154476">
        <w:t xml:space="preserve"> and dementia</w:t>
      </w:r>
      <w:r w:rsidRPr="002F5EE2">
        <w:t>.</w:t>
      </w:r>
      <w:r w:rsidR="0082515C" w:rsidRPr="002F5EE2">
        <w:t xml:space="preserve">  </w:t>
      </w:r>
    </w:p>
    <w:p w:rsidR="00321271" w:rsidRPr="00321271" w:rsidRDefault="00321271" w:rsidP="00321271">
      <w:pPr>
        <w:spacing w:line="480" w:lineRule="auto"/>
        <w:rPr>
          <w:b/>
        </w:rPr>
      </w:pPr>
      <w:r w:rsidRPr="00321271">
        <w:rPr>
          <w:b/>
        </w:rPr>
        <w:t>Magnetic Resonance Imaging</w:t>
      </w:r>
    </w:p>
    <w:p w:rsidR="00CE7DFE" w:rsidRDefault="00477A53" w:rsidP="0007021F">
      <w:pPr>
        <w:spacing w:line="480" w:lineRule="auto"/>
        <w:ind w:firstLine="720"/>
      </w:pPr>
      <w:r w:rsidRPr="002F5EE2">
        <w:t xml:space="preserve">Using </w:t>
      </w:r>
      <w:r w:rsidR="00445E3C">
        <w:t>MRI</w:t>
      </w:r>
      <w:r w:rsidRPr="002F5EE2">
        <w:t xml:space="preserve">, scientists can image both surface and deep brain structures with a high degree of anatomical detail, and detect changes in the structures that occur </w:t>
      </w:r>
      <w:r w:rsidR="00017695">
        <w:t xml:space="preserve">due to </w:t>
      </w:r>
      <w:r w:rsidR="00017695" w:rsidRPr="00017695">
        <w:t>degeneration</w:t>
      </w:r>
      <w:r w:rsidR="00017695">
        <w:t xml:space="preserve"> from</w:t>
      </w:r>
      <w:r w:rsidR="00E70E93">
        <w:t xml:space="preserve"> disease</w:t>
      </w:r>
      <w:r w:rsidRPr="002F5EE2">
        <w:t>.</w:t>
      </w:r>
      <w:r w:rsidR="00E85435">
        <w:t xml:space="preserve">  </w:t>
      </w:r>
      <w:r w:rsidR="001522E6">
        <w:t>In Alzheimer’s disease, morphologica</w:t>
      </w:r>
      <w:r w:rsidR="000856EC">
        <w:t xml:space="preserve">l studies have </w:t>
      </w:r>
      <w:r w:rsidR="00174CD4" w:rsidRPr="00174CD4">
        <w:t>revealed</w:t>
      </w:r>
      <w:r w:rsidR="000856EC">
        <w:t xml:space="preserve"> </w:t>
      </w:r>
      <w:r w:rsidR="006929C3">
        <w:t xml:space="preserve">the </w:t>
      </w:r>
      <w:r w:rsidR="00174CD4">
        <w:t xml:space="preserve">predictable </w:t>
      </w:r>
      <w:r w:rsidR="006929C3">
        <w:t xml:space="preserve">progression </w:t>
      </w:r>
      <w:r w:rsidR="001A404B">
        <w:t xml:space="preserve">of degeneration </w:t>
      </w:r>
      <w:r w:rsidR="006929C3">
        <w:t xml:space="preserve">of amyloid plaques and tangles </w:t>
      </w:r>
      <w:r w:rsidR="00154476">
        <w:t xml:space="preserve">as they move </w:t>
      </w:r>
      <w:r w:rsidR="006929C3">
        <w:t>through the entorhinal cortex of the hippocampus</w:t>
      </w:r>
      <w:r w:rsidR="00174CD4">
        <w:t>,</w:t>
      </w:r>
      <w:r w:rsidR="006929C3">
        <w:t xml:space="preserve"> </w:t>
      </w:r>
      <w:r w:rsidR="00154476">
        <w:t>t</w:t>
      </w:r>
      <w:r w:rsidR="006929C3">
        <w:t>o the limbic region, and then into the cerebral cortex association areas</w:t>
      </w:r>
      <w:r w:rsidR="00154476">
        <w:t xml:space="preserve"> (Fennema-Notestine, McEvoy, Hagler, Jacobson, and Dale, 2009)</w:t>
      </w:r>
      <w:r w:rsidR="008849D6">
        <w:t xml:space="preserve">.  </w:t>
      </w:r>
      <w:r w:rsidR="004F20B0">
        <w:t>In Frontotemporal dementia</w:t>
      </w:r>
      <w:r w:rsidR="00445E3C">
        <w:t>,</w:t>
      </w:r>
      <w:r w:rsidR="004F20B0">
        <w:t xml:space="preserve"> structural MRI has traced tissue deterioration from frontal lobes to the hippocampus and amygdala (Vitali, Migliaccio, Agosta, Rosen, and Geschwind, 2008).</w:t>
      </w:r>
      <w:r w:rsidR="00C465D5">
        <w:t xml:space="preserve">  </w:t>
      </w:r>
      <w:r w:rsidR="00B46D8C">
        <w:t xml:space="preserve">While structural MRI is an important tool in discriminating between the various types of dementia, it is limited to measuring changes as </w:t>
      </w:r>
      <w:r w:rsidR="001A404B">
        <w:t xml:space="preserve">the </w:t>
      </w:r>
      <w:r w:rsidR="00B46D8C">
        <w:t>disease is progressing through the brain.</w:t>
      </w:r>
      <w:r w:rsidR="00CE7DFE">
        <w:t xml:space="preserve">  </w:t>
      </w:r>
    </w:p>
    <w:p w:rsidR="000032CF" w:rsidRDefault="001A404B" w:rsidP="0007021F">
      <w:pPr>
        <w:spacing w:line="480" w:lineRule="auto"/>
        <w:ind w:firstLine="720"/>
      </w:pPr>
      <w:r>
        <w:t>Some research is beginning to show that m</w:t>
      </w:r>
      <w:r w:rsidR="00445E3C">
        <w:t xml:space="preserve">orphological MRI’s ability to </w:t>
      </w:r>
      <w:r w:rsidR="00B46D8C">
        <w:t>t</w:t>
      </w:r>
      <w:r w:rsidR="00154476">
        <w:t>rack and measur</w:t>
      </w:r>
      <w:r w:rsidR="00445E3C">
        <w:t xml:space="preserve">e </w:t>
      </w:r>
      <w:r w:rsidR="00154476">
        <w:t xml:space="preserve">brain shrinkage and tissue death has value in treatment research.  Fennema-Notestine et al. </w:t>
      </w:r>
      <w:r w:rsidR="00F95825">
        <w:t xml:space="preserve">(2009) </w:t>
      </w:r>
      <w:r w:rsidR="00445E3C">
        <w:t>sited research</w:t>
      </w:r>
      <w:r w:rsidR="00F95825">
        <w:t xml:space="preserve"> that </w:t>
      </w:r>
      <w:r w:rsidR="00445E3C">
        <w:t xml:space="preserve">found </w:t>
      </w:r>
      <w:r w:rsidR="00F95825">
        <w:t xml:space="preserve">the </w:t>
      </w:r>
      <w:r w:rsidR="00445E3C">
        <w:t>“</w:t>
      </w:r>
      <w:r w:rsidR="00F95825">
        <w:t>non-invasive approach of structural MRI is less variable</w:t>
      </w:r>
      <w:r w:rsidR="00445E3C">
        <w:t>”</w:t>
      </w:r>
      <w:r w:rsidR="00F95825">
        <w:t xml:space="preserve"> in assessing treatment effects, with respect to cognition tests.  While being able to support the effects of treatment is vital to successfully battling Alzheimer’s and dementia, early detection is </w:t>
      </w:r>
      <w:r w:rsidR="006C7B69">
        <w:t>essential</w:t>
      </w:r>
      <w:r w:rsidR="00F95825">
        <w:t xml:space="preserve"> to beginning treatment before irreversible damage or significant tissue loss occurs.</w:t>
      </w:r>
    </w:p>
    <w:p w:rsidR="0007021F" w:rsidRPr="002F5EE2" w:rsidRDefault="00CE7DFE" w:rsidP="0007021F">
      <w:pPr>
        <w:spacing w:line="480" w:lineRule="auto"/>
        <w:ind w:firstLine="720"/>
      </w:pPr>
      <w:r>
        <w:t>R</w:t>
      </w:r>
      <w:r w:rsidRPr="002F5EE2">
        <w:t xml:space="preserve">esearchers are studying whether the use of </w:t>
      </w:r>
      <w:r>
        <w:t xml:space="preserve">structural </w:t>
      </w:r>
      <w:r w:rsidRPr="002F5EE2">
        <w:t xml:space="preserve">neuroimaging </w:t>
      </w:r>
      <w:r w:rsidR="00D20940" w:rsidRPr="002F5EE2">
        <w:t>methods</w:t>
      </w:r>
      <w:r w:rsidR="00D20940">
        <w:t xml:space="preserve"> </w:t>
      </w:r>
      <w:r w:rsidR="00D20940" w:rsidRPr="002F5EE2">
        <w:t>may</w:t>
      </w:r>
      <w:r w:rsidRPr="002F5EE2">
        <w:t xml:space="preserve"> be expanded to play a more direct role in diagnosing dementia and Alzheimer’s</w:t>
      </w:r>
      <w:r>
        <w:t xml:space="preserve"> disease </w:t>
      </w:r>
      <w:r w:rsidRPr="002F5EE2">
        <w:t>in early stages.</w:t>
      </w:r>
      <w:r>
        <w:t xml:space="preserve">  For now</w:t>
      </w:r>
      <w:r w:rsidR="000032CF">
        <w:t xml:space="preserve">, </w:t>
      </w:r>
      <w:r w:rsidR="000032CF" w:rsidRPr="002F5EE2">
        <w:t xml:space="preserve">testing for dementia </w:t>
      </w:r>
      <w:r w:rsidR="000032CF">
        <w:t>does</w:t>
      </w:r>
      <w:r w:rsidR="000032CF" w:rsidRPr="002F5EE2">
        <w:t xml:space="preserve"> include structural imaging with MRI</w:t>
      </w:r>
      <w:r w:rsidR="001453D0">
        <w:t>,</w:t>
      </w:r>
      <w:r w:rsidR="000032CF" w:rsidRPr="002F5EE2">
        <w:t xml:space="preserve"> </w:t>
      </w:r>
      <w:r w:rsidR="000032CF">
        <w:t xml:space="preserve">but as a means to </w:t>
      </w:r>
      <w:r w:rsidR="000032CF" w:rsidRPr="002F5EE2">
        <w:t xml:space="preserve">rule out </w:t>
      </w:r>
      <w:r w:rsidR="000032CF">
        <w:t>treatable</w:t>
      </w:r>
      <w:r w:rsidR="000032CF" w:rsidRPr="002F5EE2">
        <w:t xml:space="preserve"> causes of dementia by detecting tumors, evidence of stroke, damage from he</w:t>
      </w:r>
      <w:r w:rsidR="00D27827">
        <w:t xml:space="preserve">ad </w:t>
      </w:r>
      <w:r w:rsidR="000032CF" w:rsidRPr="002F5EE2">
        <w:t>trauma, or fluid buildup</w:t>
      </w:r>
      <w:r w:rsidR="000032CF">
        <w:t xml:space="preserve"> </w:t>
      </w:r>
      <w:r w:rsidR="008712B3">
        <w:t>(Mistur et al., 2009</w:t>
      </w:r>
      <w:r w:rsidR="000032CF">
        <w:t xml:space="preserve">).  </w:t>
      </w:r>
      <w:r w:rsidR="005D3137">
        <w:t xml:space="preserve">Echoing this finding, </w:t>
      </w:r>
      <w:r w:rsidR="005D3137" w:rsidRPr="002F5EE2">
        <w:t xml:space="preserve">Tateno, Kobayashi, and Saito (2009) </w:t>
      </w:r>
      <w:r w:rsidR="005D3137">
        <w:t>concluded that morphological brain imaging contained no real diagnostic value beyond that of ruling out reversible conditions</w:t>
      </w:r>
      <w:r w:rsidR="007E645E">
        <w:t xml:space="preserve"> when trying to differentiate between Dementia with Lewy Bodies and Alzheimer’s disease</w:t>
      </w:r>
      <w:r w:rsidR="005D3137">
        <w:t xml:space="preserve">.  </w:t>
      </w:r>
      <w:r w:rsidR="000032CF">
        <w:t xml:space="preserve">At this point, more research needs to be conducted on the value on structural MRI as a viable option for early detection of dementia or Alzheimer’s disease.  </w:t>
      </w:r>
      <w:r w:rsidR="000032CF" w:rsidRPr="002F5EE2">
        <w:t xml:space="preserve">      </w:t>
      </w:r>
      <w:r w:rsidR="000032CF">
        <w:t xml:space="preserve">  </w:t>
      </w:r>
      <w:r w:rsidR="0007021F">
        <w:t xml:space="preserve">  </w:t>
      </w:r>
    </w:p>
    <w:p w:rsidR="00F21499" w:rsidRDefault="00477A53" w:rsidP="00472F0B">
      <w:pPr>
        <w:spacing w:line="480" w:lineRule="auto"/>
        <w:ind w:firstLine="720"/>
      </w:pPr>
      <w:r w:rsidRPr="002F5EE2">
        <w:t>Within the last few years, scientists have developed techniques that enable them to use MRI to image the brain as it functions. Functional MRI (fMRI) relies on t</w:t>
      </w:r>
      <w:r w:rsidR="00776A07">
        <w:t xml:space="preserve">he magnetic properties of blood </w:t>
      </w:r>
      <w:r w:rsidRPr="002F5EE2">
        <w:t xml:space="preserve">to enable scientists to see images of blood flow in the brain as it is occurring. </w:t>
      </w:r>
      <w:r w:rsidR="002C3927">
        <w:t>This allows for changes in brain activity to be recorded as it</w:t>
      </w:r>
      <w:r w:rsidR="002C3927" w:rsidRPr="002F5EE2">
        <w:t xml:space="preserve"> perform</w:t>
      </w:r>
      <w:r w:rsidR="002C3927">
        <w:t>s</w:t>
      </w:r>
      <w:r w:rsidR="002C3927" w:rsidRPr="002F5EE2">
        <w:t xml:space="preserve"> various tasks or is</w:t>
      </w:r>
      <w:r w:rsidRPr="002F5EE2">
        <w:t xml:space="preserve"> exposed to </w:t>
      </w:r>
      <w:r w:rsidR="002C3927" w:rsidRPr="002F5EE2">
        <w:t>a mixture of</w:t>
      </w:r>
      <w:r w:rsidRPr="002F5EE2">
        <w:t xml:space="preserve"> stimuli.</w:t>
      </w:r>
      <w:r w:rsidR="00E30B22">
        <w:t xml:space="preserve">  </w:t>
      </w:r>
      <w:r w:rsidR="00B40415">
        <w:t xml:space="preserve">Vitali et al. (2008) concluded that </w:t>
      </w:r>
      <w:r w:rsidR="00E30B22">
        <w:t xml:space="preserve">fMRI is </w:t>
      </w:r>
      <w:r w:rsidR="00B40415">
        <w:t xml:space="preserve">increasingly </w:t>
      </w:r>
      <w:r w:rsidR="00E30B22">
        <w:t xml:space="preserve">being </w:t>
      </w:r>
      <w:r w:rsidR="00B40415">
        <w:t xml:space="preserve">used in neurological research, </w:t>
      </w:r>
      <w:r w:rsidR="00776A07">
        <w:t xml:space="preserve">but that the </w:t>
      </w:r>
      <w:r w:rsidR="00F84A27">
        <w:t>neurophysiology</w:t>
      </w:r>
      <w:r w:rsidR="00776A07">
        <w:t xml:space="preserve"> that cause</w:t>
      </w:r>
      <w:r w:rsidR="009877AF">
        <w:t>s</w:t>
      </w:r>
      <w:r w:rsidR="00776A07">
        <w:t xml:space="preserve"> it to work is still not completely understood.</w:t>
      </w:r>
      <w:r w:rsidR="00485A76">
        <w:t xml:space="preserve">  </w:t>
      </w:r>
      <w:r w:rsidR="009D505B">
        <w:t>However, the potential exists for cognitive and behavioral testing</w:t>
      </w:r>
      <w:r w:rsidR="00F81F5B">
        <w:t xml:space="preserve"> using fMRI</w:t>
      </w:r>
      <w:r w:rsidR="009D505B">
        <w:t xml:space="preserve"> </w:t>
      </w:r>
      <w:r w:rsidR="00085D62">
        <w:t>to determine if differences exist between the different dementias</w:t>
      </w:r>
      <w:r w:rsidR="009873C7">
        <w:t>.</w:t>
      </w:r>
      <w:r w:rsidR="00085D62">
        <w:t xml:space="preserve">  </w:t>
      </w:r>
      <w:r w:rsidR="009873C7">
        <w:t xml:space="preserve">  </w:t>
      </w:r>
      <w:r w:rsidR="00776A07">
        <w:t xml:space="preserve">  </w:t>
      </w:r>
    </w:p>
    <w:p w:rsidR="001453D0" w:rsidRPr="001453D0" w:rsidRDefault="001453D0" w:rsidP="001453D0">
      <w:pPr>
        <w:spacing w:line="480" w:lineRule="auto"/>
        <w:rPr>
          <w:b/>
        </w:rPr>
      </w:pPr>
      <w:r w:rsidRPr="001453D0">
        <w:rPr>
          <w:b/>
        </w:rPr>
        <w:t>Positron Emission Tomography</w:t>
      </w:r>
    </w:p>
    <w:p w:rsidR="004917D7" w:rsidRDefault="00AE3783" w:rsidP="009064F5">
      <w:pPr>
        <w:spacing w:line="480" w:lineRule="auto"/>
        <w:ind w:firstLine="720"/>
      </w:pPr>
      <w:r>
        <w:t xml:space="preserve">Another form of functional neuroimaging </w:t>
      </w:r>
      <w:r w:rsidR="00657312">
        <w:t>involves</w:t>
      </w:r>
      <w:r w:rsidR="009064F5">
        <w:t xml:space="preserve"> P</w:t>
      </w:r>
      <w:r w:rsidR="00C931FC">
        <w:t>ositron Emission Tomography (P</w:t>
      </w:r>
      <w:r w:rsidR="009064F5">
        <w:t>ET</w:t>
      </w:r>
      <w:r w:rsidR="00C931FC">
        <w:t>)</w:t>
      </w:r>
      <w:r>
        <w:t xml:space="preserve">.  </w:t>
      </w:r>
      <w:r w:rsidR="003A0640" w:rsidRPr="003A0640">
        <w:rPr>
          <w:iCs/>
        </w:rPr>
        <w:t xml:space="preserve">PET measures discharge from radioactively labeled chemicals that have been injected into the </w:t>
      </w:r>
      <w:r w:rsidR="00DF3985">
        <w:rPr>
          <w:iCs/>
        </w:rPr>
        <w:t xml:space="preserve">bloodstream.  </w:t>
      </w:r>
      <w:r w:rsidRPr="003A0640">
        <w:t>U</w:t>
      </w:r>
      <w:r w:rsidR="009064F5" w:rsidRPr="003A0640">
        <w:t>sing</w:t>
      </w:r>
      <w:r w:rsidR="009064F5">
        <w:t xml:space="preserve"> </w:t>
      </w:r>
      <w:r w:rsidR="009873C7">
        <w:t xml:space="preserve">PET scans with </w:t>
      </w:r>
      <w:r w:rsidR="009064F5">
        <w:t>F-2fluoro-2-deoxy-D-glucose (FDG)</w:t>
      </w:r>
      <w:r w:rsidR="00940B41">
        <w:t xml:space="preserve">, a </w:t>
      </w:r>
      <w:r w:rsidR="00D27827">
        <w:t xml:space="preserve">radioactive </w:t>
      </w:r>
      <w:r w:rsidR="00940B41">
        <w:t>compound</w:t>
      </w:r>
      <w:r w:rsidR="009873C7">
        <w:t>,</w:t>
      </w:r>
      <w:r>
        <w:t xml:space="preserve"> </w:t>
      </w:r>
      <w:r w:rsidR="009064F5">
        <w:t xml:space="preserve">is </w:t>
      </w:r>
      <w:r w:rsidR="006046A8">
        <w:t>a common</w:t>
      </w:r>
      <w:r w:rsidR="009064F5">
        <w:t xml:space="preserve"> technique for </w:t>
      </w:r>
      <w:r w:rsidR="00DF3985">
        <w:t>illustrating</w:t>
      </w:r>
      <w:r w:rsidR="009064F5">
        <w:t xml:space="preserve"> functional impairment</w:t>
      </w:r>
      <w:r w:rsidR="00DF3985">
        <w:t xml:space="preserve"> in specific brain regions</w:t>
      </w:r>
      <w:r w:rsidR="009064F5">
        <w:t xml:space="preserve"> in dementia</w:t>
      </w:r>
      <w:r w:rsidR="0065672E">
        <w:t xml:space="preserve"> (Herholz, Carter, and Jones, 2007)</w:t>
      </w:r>
      <w:r w:rsidR="009064F5">
        <w:t xml:space="preserve">.  </w:t>
      </w:r>
      <w:r w:rsidR="0065672E">
        <w:t xml:space="preserve">This is done by measuring the rate at which FDG is absorbed or metabolized by brain cells.  </w:t>
      </w:r>
      <w:r w:rsidR="000C448A">
        <w:t>As the brain’s nerve cells are destroyed by Alzheimer’s disease, g</w:t>
      </w:r>
      <w:r w:rsidR="000C448A" w:rsidRPr="002F5EE2">
        <w:t>lucose metabolism declines</w:t>
      </w:r>
      <w:r w:rsidR="000C448A">
        <w:t>.  There are less cell and tissues to absorb the glucose</w:t>
      </w:r>
      <w:r w:rsidR="00940B41">
        <w:t>,</w:t>
      </w:r>
      <w:r w:rsidR="000C448A">
        <w:t xml:space="preserve"> and tangled nerve cells don’t metabolize the </w:t>
      </w:r>
      <w:r w:rsidR="00940B41">
        <w:t>source of energy</w:t>
      </w:r>
      <w:r w:rsidR="000C448A">
        <w:t xml:space="preserve"> properly (Alzheimer’s Association).</w:t>
      </w:r>
      <w:r w:rsidR="00A73D0B">
        <w:t xml:space="preserve">  </w:t>
      </w:r>
    </w:p>
    <w:p w:rsidR="006A3016" w:rsidRDefault="00670542" w:rsidP="009064F5">
      <w:pPr>
        <w:spacing w:line="480" w:lineRule="auto"/>
        <w:ind w:firstLine="720"/>
      </w:pPr>
      <w:r>
        <w:t>Mistur et al.</w:t>
      </w:r>
      <w:r w:rsidR="00A73D0B">
        <w:t xml:space="preserve"> (2007) reviewed research that found FDG-PET studies in Alzheimer’s disease revealed “consistent and progressive” reduction in glucose metabolism in the cerebral cortex, which correlates to symptom severity.</w:t>
      </w:r>
      <w:r w:rsidR="008B341F">
        <w:t xml:space="preserve">  They further noted</w:t>
      </w:r>
      <w:proofErr w:type="gramStart"/>
      <w:r w:rsidR="00FC5BEF">
        <w:t>,</w:t>
      </w:r>
      <w:proofErr w:type="gramEnd"/>
      <w:r w:rsidR="008B341F">
        <w:t xml:space="preserve"> the pattern of affected brain regions of reduced cerebral metabolic rate of glucose can be used to differentiate Alzheimer’s disease from other dementia types, like </w:t>
      </w:r>
      <w:proofErr w:type="spellStart"/>
      <w:r w:rsidR="008B341F">
        <w:t>frontotemporal</w:t>
      </w:r>
      <w:proofErr w:type="spellEnd"/>
      <w:r w:rsidR="008B341F">
        <w:t xml:space="preserve"> dementia and D</w:t>
      </w:r>
      <w:r w:rsidR="004917D7">
        <w:t xml:space="preserve">ementia with </w:t>
      </w:r>
      <w:r w:rsidR="008B341F">
        <w:t>L</w:t>
      </w:r>
      <w:r w:rsidR="004917D7">
        <w:t xml:space="preserve">ewy </w:t>
      </w:r>
      <w:r w:rsidR="008B341F">
        <w:t>B</w:t>
      </w:r>
      <w:r w:rsidR="004917D7">
        <w:t>odies</w:t>
      </w:r>
      <w:r w:rsidR="00064826">
        <w:t xml:space="preserve"> (DLB)</w:t>
      </w:r>
      <w:r w:rsidR="008B341F">
        <w:t>.</w:t>
      </w:r>
      <w:r w:rsidR="00064826">
        <w:t xml:space="preserve">  Similarly, </w:t>
      </w:r>
      <w:r w:rsidR="006A3016">
        <w:t>Tateno et al. (2009)</w:t>
      </w:r>
      <w:r w:rsidR="006A3016" w:rsidRPr="002F5EE2">
        <w:t xml:space="preserve"> acknowledged that PET imaging, showing low cerebral metabolic rate of glucose, could be useful in differentiating </w:t>
      </w:r>
      <w:r w:rsidR="006A3016">
        <w:t>(DLB)</w:t>
      </w:r>
      <w:r w:rsidR="006A3016" w:rsidRPr="002F5EE2">
        <w:t xml:space="preserve"> from other types of dementia</w:t>
      </w:r>
      <w:r w:rsidR="006A3016">
        <w:t xml:space="preserve">.  </w:t>
      </w:r>
    </w:p>
    <w:p w:rsidR="00940B41" w:rsidRDefault="00940B41" w:rsidP="002F1242">
      <w:pPr>
        <w:spacing w:line="480" w:lineRule="auto"/>
        <w:ind w:firstLine="720"/>
      </w:pPr>
      <w:r w:rsidRPr="002F5EE2">
        <w:t xml:space="preserve">A </w:t>
      </w:r>
      <w:r w:rsidR="004D59C4">
        <w:t>rad</w:t>
      </w:r>
      <w:r w:rsidRPr="002F5EE2">
        <w:t>iotracer, called Pittsburgh Compound B (PIB), developed by Chester A. Mathis, PhD, and William Klunk, MD, PhD. in 2004</w:t>
      </w:r>
      <w:r w:rsidR="00C2142D">
        <w:t xml:space="preserve"> (Alzheimer’s Association)</w:t>
      </w:r>
      <w:r w:rsidRPr="002F5EE2">
        <w:t xml:space="preserve">, is enhancing ways in which neuroimaging can be used.  PIB can attach itself to </w:t>
      </w:r>
      <w:r w:rsidR="0065799A">
        <w:t>amyloid plaques</w:t>
      </w:r>
      <w:r w:rsidRPr="002F5EE2">
        <w:t xml:space="preserve"> and then be detected by PET</w:t>
      </w:r>
      <w:r>
        <w:t xml:space="preserve"> scans</w:t>
      </w:r>
      <w:r w:rsidRPr="002F5EE2">
        <w:t>.</w:t>
      </w:r>
      <w:r>
        <w:t xml:space="preserve">  </w:t>
      </w:r>
      <w:r w:rsidR="0065799A">
        <w:t xml:space="preserve">Thus far, PIB has consistently provided accurate detection of amyloid plaques, which </w:t>
      </w:r>
      <w:r>
        <w:t>shows potential for improv</w:t>
      </w:r>
      <w:r w:rsidR="0065799A">
        <w:t>ing</w:t>
      </w:r>
      <w:r>
        <w:t xml:space="preserve"> diagnostic accuracy in A</w:t>
      </w:r>
      <w:r w:rsidR="00C2142D">
        <w:t>lzheimer’s disease</w:t>
      </w:r>
      <w:r w:rsidR="00DB4385">
        <w:t xml:space="preserve"> (Herholz, Carter, and Jones, 2007)</w:t>
      </w:r>
      <w:r w:rsidR="0065799A">
        <w:t>.</w:t>
      </w:r>
      <w:r w:rsidR="00145E16">
        <w:t xml:space="preserve">  </w:t>
      </w:r>
      <w:r>
        <w:t xml:space="preserve">Vitali et al. </w:t>
      </w:r>
      <w:r w:rsidR="00145E16">
        <w:t>(</w:t>
      </w:r>
      <w:r>
        <w:t>2008</w:t>
      </w:r>
      <w:r w:rsidR="00145E16">
        <w:t>)</w:t>
      </w:r>
      <w:r w:rsidR="0065799A">
        <w:t xml:space="preserve">, </w:t>
      </w:r>
      <w:r w:rsidR="00145E16">
        <w:t xml:space="preserve">agrees that </w:t>
      </w:r>
      <w:r w:rsidR="0065799A">
        <w:t xml:space="preserve">PIB </w:t>
      </w:r>
      <w:r w:rsidR="00690FAD">
        <w:t>will improve the ability to differentiate the various types of dementia,</w:t>
      </w:r>
      <w:r w:rsidR="00C931FC">
        <w:t xml:space="preserve"> especially in comparison to other new</w:t>
      </w:r>
      <w:r w:rsidR="00DF0DC1">
        <w:t>ly developed</w:t>
      </w:r>
      <w:r w:rsidR="00C931FC">
        <w:t xml:space="preserve"> </w:t>
      </w:r>
      <w:r w:rsidR="004D59C4">
        <w:t>radiotracers</w:t>
      </w:r>
      <w:r>
        <w:t>.</w:t>
      </w:r>
      <w:r w:rsidR="00C2142D">
        <w:t xml:space="preserve">  </w:t>
      </w:r>
    </w:p>
    <w:p w:rsidR="00C73BC4" w:rsidRPr="002F5EE2" w:rsidRDefault="001D78FD" w:rsidP="00C931FC">
      <w:pPr>
        <w:spacing w:line="480" w:lineRule="auto"/>
        <w:ind w:firstLine="720"/>
      </w:pPr>
      <w:r>
        <w:t>Alzheimer’s disease</w:t>
      </w:r>
      <w:r w:rsidR="00A2359C">
        <w:t>,</w:t>
      </w:r>
      <w:r w:rsidR="00670542">
        <w:t xml:space="preserve"> </w:t>
      </w:r>
      <w:r w:rsidR="00A2359C">
        <w:t xml:space="preserve">along with the </w:t>
      </w:r>
      <w:r w:rsidR="00670542">
        <w:t>other causes of dementia</w:t>
      </w:r>
      <w:r w:rsidR="00657312">
        <w:t>,</w:t>
      </w:r>
      <w:r w:rsidR="00670542">
        <w:t xml:space="preserve"> results in damaged </w:t>
      </w:r>
      <w:r w:rsidR="00A2359C">
        <w:t>brain cell</w:t>
      </w:r>
      <w:r w:rsidR="00670542">
        <w:t xml:space="preserve"> </w:t>
      </w:r>
      <w:r w:rsidR="00A2359C">
        <w:t>activity</w:t>
      </w:r>
      <w:r w:rsidR="00670542">
        <w:t xml:space="preserve">, the results of which </w:t>
      </w:r>
      <w:r w:rsidR="00A2359C">
        <w:t xml:space="preserve">are eventually </w:t>
      </w:r>
      <w:r w:rsidR="00670542">
        <w:t xml:space="preserve">seen by behavioral and cognitive symptoms.  Unfortunately, at the point in which cognitive and behavioral symptoms are seen, permanent damage to brain neurons is done.  This limits treatment options.  </w:t>
      </w:r>
      <w:r w:rsidR="008F1F8C">
        <w:t>The medical community needs the ability to detect these diseases early, as well as the ability to differentiate one from another</w:t>
      </w:r>
      <w:r w:rsidR="004500EC">
        <w:t xml:space="preserve">. </w:t>
      </w:r>
      <w:r w:rsidR="008F1F8C">
        <w:t xml:space="preserve"> </w:t>
      </w:r>
      <w:r w:rsidR="004500EC">
        <w:t>N</w:t>
      </w:r>
      <w:r w:rsidR="00C73BC4" w:rsidRPr="002F5EE2">
        <w:t xml:space="preserve">euroimaging is playing an increasingly important role in </w:t>
      </w:r>
      <w:r w:rsidR="00336BD6">
        <w:t xml:space="preserve">the </w:t>
      </w:r>
      <w:r w:rsidR="000D3DDD">
        <w:t>early and accurate</w:t>
      </w:r>
      <w:r w:rsidR="00C73BC4" w:rsidRPr="002F5EE2">
        <w:t xml:space="preserve"> </w:t>
      </w:r>
      <w:r w:rsidR="000D3DDD">
        <w:t>diagnosis</w:t>
      </w:r>
      <w:r w:rsidR="004500EC">
        <w:t xml:space="preserve"> of Alzheimer’s and dementia</w:t>
      </w:r>
      <w:r w:rsidR="00A70DA8">
        <w:t xml:space="preserve">.  </w:t>
      </w:r>
      <w:r w:rsidR="00590F46">
        <w:t xml:space="preserve">Studies using MRI and PET have advanced our knowledge of the degenerative progression </w:t>
      </w:r>
      <w:r w:rsidR="00336BD6">
        <w:t xml:space="preserve">of </w:t>
      </w:r>
      <w:r w:rsidR="00590F46">
        <w:t xml:space="preserve">Alzheimer’s and dementia through the brain, details of how one form of dementia varies from others, </w:t>
      </w:r>
      <w:r w:rsidR="000D3DDD">
        <w:t xml:space="preserve">and insight into potential causes of dementia.  </w:t>
      </w:r>
      <w:r w:rsidR="00ED7D56">
        <w:t>F</w:t>
      </w:r>
      <w:r w:rsidR="000D3DDD">
        <w:t xml:space="preserve">uture research will </w:t>
      </w:r>
      <w:r w:rsidR="00ED7D56">
        <w:t xml:space="preserve">continue to </w:t>
      </w:r>
      <w:r w:rsidR="000D3DDD">
        <w:t xml:space="preserve">show </w:t>
      </w:r>
      <w:r w:rsidR="00ED7D56">
        <w:t xml:space="preserve">and expand our knowledge of how </w:t>
      </w:r>
      <w:r w:rsidR="000D3DDD">
        <w:t xml:space="preserve">neuroimaging techniques </w:t>
      </w:r>
      <w:r w:rsidR="00ED7D56">
        <w:t>can be an</w:t>
      </w:r>
      <w:r w:rsidR="000D3DDD">
        <w:t xml:space="preserve"> accurate diagnostic tool for detecting Alzheimer’s disease and dementia.  </w:t>
      </w:r>
    </w:p>
    <w:p w:rsidR="00C73BC4" w:rsidRDefault="00C73BC4" w:rsidP="00CC2486">
      <w:pPr>
        <w:spacing w:line="480" w:lineRule="auto"/>
      </w:pPr>
    </w:p>
    <w:p w:rsidR="00EA0CB0" w:rsidRDefault="00EA0CB0" w:rsidP="00CC2486">
      <w:pPr>
        <w:spacing w:line="480" w:lineRule="auto"/>
      </w:pPr>
    </w:p>
    <w:p w:rsidR="00EA0CB0" w:rsidRDefault="00EA0CB0" w:rsidP="00CC2486">
      <w:pPr>
        <w:spacing w:line="480" w:lineRule="auto"/>
      </w:pPr>
    </w:p>
    <w:p w:rsidR="00EA0CB0" w:rsidRDefault="00EA0CB0" w:rsidP="00CC2486">
      <w:pPr>
        <w:spacing w:line="480" w:lineRule="auto"/>
      </w:pPr>
    </w:p>
    <w:p w:rsidR="00EA0CB0" w:rsidRDefault="00EA0CB0" w:rsidP="00CC2486">
      <w:pPr>
        <w:spacing w:line="480" w:lineRule="auto"/>
      </w:pPr>
    </w:p>
    <w:p w:rsidR="00EA0CB0" w:rsidRDefault="00EA0CB0" w:rsidP="00CC2486">
      <w:pPr>
        <w:spacing w:line="480" w:lineRule="auto"/>
      </w:pPr>
    </w:p>
    <w:p w:rsidR="00EA0CB0" w:rsidRDefault="00EA0CB0" w:rsidP="00CC2486">
      <w:pPr>
        <w:spacing w:line="480" w:lineRule="auto"/>
      </w:pPr>
    </w:p>
    <w:p w:rsidR="00EA0CB0" w:rsidRPr="0056210E" w:rsidRDefault="00EA0CB0" w:rsidP="00EA0CB0">
      <w:pPr>
        <w:jc w:val="center"/>
      </w:pPr>
      <w:r w:rsidRPr="0056210E">
        <w:t>Reference Page</w:t>
      </w:r>
    </w:p>
    <w:p w:rsidR="00EA0CB0" w:rsidRPr="0056210E" w:rsidRDefault="00EA0CB0" w:rsidP="00EA0CB0"/>
    <w:p w:rsidR="00EA0CB0" w:rsidRPr="0056210E" w:rsidRDefault="00EA0CB0" w:rsidP="00EA0CB0">
      <w:pPr>
        <w:spacing w:line="480" w:lineRule="auto"/>
      </w:pPr>
      <w:r w:rsidRPr="0056210E">
        <w:tab/>
      </w:r>
      <w:proofErr w:type="gramStart"/>
      <w:r w:rsidRPr="0056210E">
        <w:t>Alzheimer’s Association.</w:t>
      </w:r>
      <w:proofErr w:type="gramEnd"/>
      <w:r w:rsidRPr="0056210E">
        <w:t xml:space="preserve">  </w:t>
      </w:r>
      <w:proofErr w:type="gramStart"/>
      <w:r w:rsidRPr="0056210E">
        <w:t>2010 Alzheimer’s disease Facts and Figures.</w:t>
      </w:r>
      <w:proofErr w:type="gramEnd"/>
      <w:r w:rsidRPr="0056210E">
        <w:t xml:space="preserve">  </w:t>
      </w:r>
      <w:hyperlink r:id="rId9" w:history="1">
        <w:r w:rsidRPr="0056210E">
          <w:rPr>
            <w:rStyle w:val="Hyperlink"/>
          </w:rPr>
          <w:t>http://www.alz.org</w:t>
        </w:r>
      </w:hyperlink>
      <w:r w:rsidRPr="0056210E">
        <w:t xml:space="preserve"> </w:t>
      </w:r>
    </w:p>
    <w:p w:rsidR="00EA0CB0" w:rsidRPr="0056210E" w:rsidRDefault="00EA0CB0" w:rsidP="00EA0CB0">
      <w:pPr>
        <w:spacing w:line="480" w:lineRule="auto"/>
      </w:pPr>
      <w:r w:rsidRPr="0056210E">
        <w:tab/>
      </w:r>
      <w:proofErr w:type="spellStart"/>
      <w:proofErr w:type="gramStart"/>
      <w:r w:rsidRPr="0056210E">
        <w:t>Fennema-Notestine</w:t>
      </w:r>
      <w:proofErr w:type="spellEnd"/>
      <w:r w:rsidRPr="0056210E">
        <w:t xml:space="preserve">, C., </w:t>
      </w:r>
      <w:proofErr w:type="spellStart"/>
      <w:r w:rsidRPr="0056210E">
        <w:t>McEvoy</w:t>
      </w:r>
      <w:proofErr w:type="spellEnd"/>
      <w:r w:rsidRPr="0056210E">
        <w:t xml:space="preserve">, L., </w:t>
      </w:r>
      <w:proofErr w:type="spellStart"/>
      <w:r w:rsidRPr="0056210E">
        <w:t>Hagler</w:t>
      </w:r>
      <w:proofErr w:type="spellEnd"/>
      <w:r w:rsidRPr="0056210E">
        <w:t xml:space="preserve"> Jr., D.J., Jacobson, M.W., Dale, A.M. (2009).</w:t>
      </w:r>
      <w:proofErr w:type="gramEnd"/>
      <w:r w:rsidRPr="0056210E">
        <w:t xml:space="preserve">  </w:t>
      </w:r>
      <w:proofErr w:type="gramStart"/>
      <w:r w:rsidRPr="0056210E">
        <w:t xml:space="preserve">Structural </w:t>
      </w:r>
      <w:proofErr w:type="spellStart"/>
      <w:r w:rsidRPr="0056210E">
        <w:t>neuroimaging</w:t>
      </w:r>
      <w:proofErr w:type="spellEnd"/>
      <w:r w:rsidRPr="0056210E">
        <w:t xml:space="preserve"> in the detection and prognosis of preclinical and early AD.</w:t>
      </w:r>
      <w:proofErr w:type="gramEnd"/>
      <w:r w:rsidRPr="0056210E">
        <w:t xml:space="preserve">  </w:t>
      </w:r>
      <w:r w:rsidRPr="0056210E">
        <w:rPr>
          <w:i/>
        </w:rPr>
        <w:t xml:space="preserve">Behavioral Neurology, 21(1), </w:t>
      </w:r>
      <w:r w:rsidRPr="0056210E">
        <w:t xml:space="preserve">3-12.  </w:t>
      </w:r>
      <w:proofErr w:type="spellStart"/>
      <w:proofErr w:type="gramStart"/>
      <w:r w:rsidRPr="0056210E">
        <w:t>doi</w:t>
      </w:r>
      <w:proofErr w:type="spellEnd"/>
      <w:proofErr w:type="gramEnd"/>
      <w:r w:rsidRPr="0056210E">
        <w:t>: 10.3233/BEN-2009-0230</w:t>
      </w:r>
    </w:p>
    <w:p w:rsidR="00EA0CB0" w:rsidRPr="0056210E" w:rsidRDefault="00EA0CB0" w:rsidP="00EA0CB0">
      <w:pPr>
        <w:spacing w:line="480" w:lineRule="auto"/>
        <w:ind w:firstLine="720"/>
      </w:pPr>
      <w:proofErr w:type="spellStart"/>
      <w:proofErr w:type="gramStart"/>
      <w:r w:rsidRPr="0056210E">
        <w:t>Herholz</w:t>
      </w:r>
      <w:proofErr w:type="spellEnd"/>
      <w:r w:rsidRPr="0056210E">
        <w:t>, K., Carter, S.F., Jones, M. (2007), Positron emission tomography imaging in dementia.</w:t>
      </w:r>
      <w:proofErr w:type="gramEnd"/>
      <w:r w:rsidRPr="0056210E">
        <w:t xml:space="preserve">  </w:t>
      </w:r>
      <w:r w:rsidRPr="0056210E">
        <w:rPr>
          <w:i/>
        </w:rPr>
        <w:t xml:space="preserve">The British Journal of Radiology, 80, </w:t>
      </w:r>
      <w:r w:rsidRPr="0056210E">
        <w:t xml:space="preserve">160-167.  </w:t>
      </w:r>
      <w:proofErr w:type="spellStart"/>
      <w:proofErr w:type="gramStart"/>
      <w:r w:rsidRPr="0056210E">
        <w:t>doi</w:t>
      </w:r>
      <w:proofErr w:type="spellEnd"/>
      <w:proofErr w:type="gramEnd"/>
      <w:r w:rsidRPr="0056210E">
        <w:t>: 10.1259/bjr/97295129.</w:t>
      </w:r>
    </w:p>
    <w:p w:rsidR="00EA0CB0" w:rsidRPr="0056210E" w:rsidRDefault="00EA0CB0" w:rsidP="00EA0CB0">
      <w:pPr>
        <w:spacing w:line="480" w:lineRule="auto"/>
        <w:ind w:firstLine="720"/>
      </w:pPr>
      <w:proofErr w:type="spellStart"/>
      <w:proofErr w:type="gramStart"/>
      <w:r w:rsidRPr="0056210E">
        <w:t>Mistur</w:t>
      </w:r>
      <w:proofErr w:type="spellEnd"/>
      <w:r w:rsidRPr="0056210E">
        <w:t xml:space="preserve">, R., </w:t>
      </w:r>
      <w:proofErr w:type="spellStart"/>
      <w:r w:rsidRPr="0056210E">
        <w:t>Mosconi</w:t>
      </w:r>
      <w:proofErr w:type="spellEnd"/>
      <w:r w:rsidRPr="0056210E">
        <w:t xml:space="preserve">, L., De </w:t>
      </w:r>
      <w:proofErr w:type="spellStart"/>
      <w:r w:rsidRPr="0056210E">
        <w:t>Santi</w:t>
      </w:r>
      <w:proofErr w:type="spellEnd"/>
      <w:r w:rsidRPr="0056210E">
        <w:t xml:space="preserve">, S., Guzman, M., Li, Y., </w:t>
      </w:r>
      <w:proofErr w:type="spellStart"/>
      <w:r w:rsidRPr="0056210E">
        <w:t>Tsui</w:t>
      </w:r>
      <w:proofErr w:type="spellEnd"/>
      <w:r w:rsidRPr="0056210E">
        <w:t>, W., de Leon, M.J., (2009).</w:t>
      </w:r>
      <w:proofErr w:type="gramEnd"/>
      <w:r w:rsidRPr="0056210E">
        <w:t xml:space="preserve">  Current Challenges for the early detection of </w:t>
      </w:r>
      <w:proofErr w:type="gramStart"/>
      <w:r w:rsidRPr="0056210E">
        <w:t>Alzheimer’s Disease</w:t>
      </w:r>
      <w:proofErr w:type="gramEnd"/>
      <w:r w:rsidRPr="0056210E">
        <w:t xml:space="preserve">: Brain imaging and CSF studies.  </w:t>
      </w:r>
      <w:r w:rsidRPr="0056210E">
        <w:rPr>
          <w:i/>
        </w:rPr>
        <w:t>Journal of Clinical Neurology, 5</w:t>
      </w:r>
      <w:r w:rsidRPr="0056210E">
        <w:t>, 153-166 doi:10.3988/jcn.2009.5.4.153.</w:t>
      </w:r>
    </w:p>
    <w:p w:rsidR="00EA0CB0" w:rsidRPr="0056210E" w:rsidRDefault="00EA0CB0" w:rsidP="00EA0CB0">
      <w:pPr>
        <w:spacing w:line="480" w:lineRule="auto"/>
        <w:ind w:firstLine="720"/>
      </w:pPr>
      <w:proofErr w:type="gramStart"/>
      <w:r w:rsidRPr="0056210E">
        <w:t xml:space="preserve">Tateno, M., </w:t>
      </w:r>
      <w:proofErr w:type="spellStart"/>
      <w:r w:rsidRPr="0056210E">
        <w:t>Koayashi</w:t>
      </w:r>
      <w:proofErr w:type="spellEnd"/>
      <w:r w:rsidRPr="0056210E">
        <w:t>, S., Saito, T. (2009).</w:t>
      </w:r>
      <w:proofErr w:type="gramEnd"/>
      <w:r w:rsidRPr="0056210E">
        <w:t xml:space="preserve">  Imaging improves diagnosis of dementia with </w:t>
      </w:r>
      <w:proofErr w:type="spellStart"/>
      <w:r w:rsidRPr="0056210E">
        <w:t>Lewy</w:t>
      </w:r>
      <w:proofErr w:type="spellEnd"/>
      <w:r w:rsidRPr="0056210E">
        <w:t xml:space="preserve"> Bodies.  </w:t>
      </w:r>
      <w:r w:rsidRPr="0056210E">
        <w:rPr>
          <w:i/>
        </w:rPr>
        <w:t xml:space="preserve">Official Journal of Korean Neuropsychiatric Association, 6, </w:t>
      </w:r>
      <w:r w:rsidRPr="0056210E">
        <w:t xml:space="preserve">233-240.  </w:t>
      </w:r>
      <w:proofErr w:type="spellStart"/>
      <w:proofErr w:type="gramStart"/>
      <w:r w:rsidRPr="0056210E">
        <w:t>doi</w:t>
      </w:r>
      <w:proofErr w:type="spellEnd"/>
      <w:proofErr w:type="gramEnd"/>
      <w:r w:rsidRPr="0056210E">
        <w:t xml:space="preserve">: 10.4306/pi.2009.6.4.233 </w:t>
      </w:r>
    </w:p>
    <w:p w:rsidR="00EA0CB0" w:rsidRPr="0056210E" w:rsidRDefault="00EA0CB0" w:rsidP="00EA0CB0">
      <w:pPr>
        <w:spacing w:line="480" w:lineRule="auto"/>
      </w:pPr>
      <w:r w:rsidRPr="0056210E">
        <w:tab/>
      </w:r>
      <w:proofErr w:type="spellStart"/>
      <w:proofErr w:type="gramStart"/>
      <w:r w:rsidRPr="0056210E">
        <w:t>Vitali</w:t>
      </w:r>
      <w:proofErr w:type="spellEnd"/>
      <w:r w:rsidRPr="0056210E">
        <w:t xml:space="preserve">, P., </w:t>
      </w:r>
      <w:proofErr w:type="spellStart"/>
      <w:r w:rsidRPr="0056210E">
        <w:t>Migliaccio</w:t>
      </w:r>
      <w:proofErr w:type="spellEnd"/>
      <w:r w:rsidRPr="0056210E">
        <w:t xml:space="preserve">, R., </w:t>
      </w:r>
      <w:proofErr w:type="spellStart"/>
      <w:r w:rsidRPr="0056210E">
        <w:t>Agosta</w:t>
      </w:r>
      <w:proofErr w:type="spellEnd"/>
      <w:r w:rsidRPr="0056210E">
        <w:t xml:space="preserve">, F., Rosen, H., </w:t>
      </w:r>
      <w:proofErr w:type="spellStart"/>
      <w:r w:rsidRPr="0056210E">
        <w:t>Geschwind</w:t>
      </w:r>
      <w:proofErr w:type="spellEnd"/>
      <w:r w:rsidRPr="0056210E">
        <w:t>, M. (2008).</w:t>
      </w:r>
      <w:proofErr w:type="gramEnd"/>
      <w:r w:rsidRPr="0056210E">
        <w:t xml:space="preserve">  </w:t>
      </w:r>
      <w:proofErr w:type="spellStart"/>
      <w:proofErr w:type="gramStart"/>
      <w:r w:rsidRPr="0056210E">
        <w:t>Neuroimaging</w:t>
      </w:r>
      <w:proofErr w:type="spellEnd"/>
      <w:r w:rsidRPr="0056210E">
        <w:t xml:space="preserve"> in Dementia.</w:t>
      </w:r>
      <w:proofErr w:type="gramEnd"/>
      <w:r w:rsidRPr="0056210E">
        <w:t xml:space="preserve">  </w:t>
      </w:r>
      <w:proofErr w:type="spellStart"/>
      <w:r w:rsidRPr="0056210E">
        <w:rPr>
          <w:i/>
        </w:rPr>
        <w:t>Semin</w:t>
      </w:r>
      <w:proofErr w:type="spellEnd"/>
      <w:r w:rsidRPr="0056210E">
        <w:rPr>
          <w:i/>
        </w:rPr>
        <w:t xml:space="preserve"> </w:t>
      </w:r>
      <w:proofErr w:type="spellStart"/>
      <w:r w:rsidRPr="0056210E">
        <w:rPr>
          <w:i/>
        </w:rPr>
        <w:t>Neurol</w:t>
      </w:r>
      <w:proofErr w:type="spellEnd"/>
      <w:r w:rsidRPr="0056210E">
        <w:rPr>
          <w:i/>
        </w:rPr>
        <w:t>, 28(4)</w:t>
      </w:r>
      <w:proofErr w:type="gramStart"/>
      <w:r w:rsidRPr="0056210E">
        <w:rPr>
          <w:i/>
        </w:rPr>
        <w:t>,</w:t>
      </w:r>
      <w:r w:rsidRPr="0056210E">
        <w:t>467</w:t>
      </w:r>
      <w:proofErr w:type="gramEnd"/>
      <w:r w:rsidRPr="0056210E">
        <w:t xml:space="preserve">-483.  </w:t>
      </w:r>
      <w:proofErr w:type="gramStart"/>
      <w:r w:rsidRPr="0056210E">
        <w:t>doi:</w:t>
      </w:r>
      <w:proofErr w:type="gramEnd"/>
      <w:r w:rsidRPr="0056210E">
        <w:t xml:space="preserve">10.1055/s-0028-1083695  </w:t>
      </w:r>
    </w:p>
    <w:p w:rsidR="00EA0CB0" w:rsidRPr="0056210E" w:rsidRDefault="00EA0CB0" w:rsidP="00EA0CB0">
      <w:pPr>
        <w:spacing w:line="480" w:lineRule="auto"/>
      </w:pPr>
      <w:r w:rsidRPr="0056210E">
        <w:tab/>
      </w:r>
    </w:p>
    <w:p w:rsidR="00EA0CB0" w:rsidRDefault="00EA0CB0" w:rsidP="00CC2486">
      <w:pPr>
        <w:spacing w:line="480" w:lineRule="auto"/>
      </w:pPr>
    </w:p>
    <w:p w:rsidR="00EA0CB0" w:rsidRPr="002F5EE2" w:rsidRDefault="00EA0CB0" w:rsidP="00CC2486">
      <w:pPr>
        <w:spacing w:line="480" w:lineRule="auto"/>
      </w:pPr>
    </w:p>
    <w:sectPr w:rsidR="00EA0CB0" w:rsidRPr="002F5EE2" w:rsidSect="00864CA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732" w:rsidRDefault="00DD2732" w:rsidP="00177E24">
      <w:r>
        <w:separator/>
      </w:r>
    </w:p>
  </w:endnote>
  <w:endnote w:type="continuationSeparator" w:id="1">
    <w:p w:rsidR="00DD2732" w:rsidRDefault="00DD2732" w:rsidP="00177E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1460518"/>
      <w:docPartObj>
        <w:docPartGallery w:val="Page Numbers (Bottom of Page)"/>
        <w:docPartUnique/>
      </w:docPartObj>
    </w:sdtPr>
    <w:sdtContent>
      <w:p w:rsidR="000E4B9B" w:rsidRDefault="00884B7B">
        <w:pPr>
          <w:pStyle w:val="Footer"/>
          <w:jc w:val="center"/>
        </w:pPr>
        <w:fldSimple w:instr=" PAGE   \* MERGEFORMAT ">
          <w:r w:rsidR="00223B36">
            <w:rPr>
              <w:noProof/>
            </w:rPr>
            <w:t>7</w:t>
          </w:r>
        </w:fldSimple>
      </w:p>
    </w:sdtContent>
  </w:sdt>
  <w:p w:rsidR="000E4B9B" w:rsidRDefault="000E4B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1460517"/>
      <w:docPartObj>
        <w:docPartGallery w:val="Page Numbers (Bottom of Page)"/>
        <w:docPartUnique/>
      </w:docPartObj>
    </w:sdtPr>
    <w:sdtContent>
      <w:p w:rsidR="000E4B9B" w:rsidRDefault="00884B7B">
        <w:pPr>
          <w:pStyle w:val="Footer"/>
          <w:jc w:val="center"/>
        </w:pPr>
        <w:fldSimple w:instr=" PAGE   \* MERGEFORMAT ">
          <w:r w:rsidR="00223B36">
            <w:rPr>
              <w:noProof/>
            </w:rPr>
            <w:t>1</w:t>
          </w:r>
        </w:fldSimple>
      </w:p>
    </w:sdtContent>
  </w:sdt>
  <w:p w:rsidR="000E4B9B" w:rsidRDefault="000E4B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732" w:rsidRDefault="00DD2732" w:rsidP="00177E24">
      <w:r>
        <w:separator/>
      </w:r>
    </w:p>
  </w:footnote>
  <w:footnote w:type="continuationSeparator" w:id="1">
    <w:p w:rsidR="00DD2732" w:rsidRDefault="00DD2732" w:rsidP="00177E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B9B" w:rsidRPr="00C931FC" w:rsidRDefault="000E4B9B" w:rsidP="00C931FC">
    <w:pPr>
      <w:pStyle w:val="Header"/>
      <w:jc w:val="center"/>
    </w:pPr>
    <w:r w:rsidRPr="00C931FC">
      <w:rPr>
        <w:sz w:val="28"/>
        <w:szCs w:val="28"/>
      </w:rPr>
      <w:t>Evaluating the Use of MRI and PET in Diagnosing Dementia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B9B" w:rsidRDefault="000E4B9B" w:rsidP="00C931FC">
    <w:pPr>
      <w:pStyle w:val="Header"/>
      <w:jc w:val="center"/>
    </w:pPr>
    <w:r w:rsidRPr="00C931FC">
      <w:rPr>
        <w:sz w:val="28"/>
        <w:szCs w:val="28"/>
      </w:rPr>
      <w:t>Evaluating the Use of MRI and PET in Diagnosing Dementia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46BE0"/>
    <w:multiLevelType w:val="multilevel"/>
    <w:tmpl w:val="8A1C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F6B23"/>
    <w:rsid w:val="000032CF"/>
    <w:rsid w:val="00015C93"/>
    <w:rsid w:val="00017695"/>
    <w:rsid w:val="000220E8"/>
    <w:rsid w:val="000229E8"/>
    <w:rsid w:val="00025424"/>
    <w:rsid w:val="00027D2B"/>
    <w:rsid w:val="00027E22"/>
    <w:rsid w:val="000367DF"/>
    <w:rsid w:val="000429A1"/>
    <w:rsid w:val="00054BE2"/>
    <w:rsid w:val="00064826"/>
    <w:rsid w:val="00065BED"/>
    <w:rsid w:val="0007021F"/>
    <w:rsid w:val="00073FD1"/>
    <w:rsid w:val="000856EC"/>
    <w:rsid w:val="00085D62"/>
    <w:rsid w:val="000860C0"/>
    <w:rsid w:val="00090CE8"/>
    <w:rsid w:val="0009219C"/>
    <w:rsid w:val="000973D1"/>
    <w:rsid w:val="00097971"/>
    <w:rsid w:val="000A0334"/>
    <w:rsid w:val="000B64E0"/>
    <w:rsid w:val="000C1169"/>
    <w:rsid w:val="000C448A"/>
    <w:rsid w:val="000C67FB"/>
    <w:rsid w:val="000C7195"/>
    <w:rsid w:val="000D3DDD"/>
    <w:rsid w:val="000E0BFC"/>
    <w:rsid w:val="000E4B9B"/>
    <w:rsid w:val="001000CF"/>
    <w:rsid w:val="00106C79"/>
    <w:rsid w:val="00120A2A"/>
    <w:rsid w:val="001217DA"/>
    <w:rsid w:val="00124A1E"/>
    <w:rsid w:val="00135D20"/>
    <w:rsid w:val="00142414"/>
    <w:rsid w:val="00143036"/>
    <w:rsid w:val="001453D0"/>
    <w:rsid w:val="00145E16"/>
    <w:rsid w:val="00151797"/>
    <w:rsid w:val="001522E6"/>
    <w:rsid w:val="00154476"/>
    <w:rsid w:val="00157952"/>
    <w:rsid w:val="00162C49"/>
    <w:rsid w:val="00174CD4"/>
    <w:rsid w:val="00175B76"/>
    <w:rsid w:val="00177E24"/>
    <w:rsid w:val="001963E6"/>
    <w:rsid w:val="00197DA6"/>
    <w:rsid w:val="001A404B"/>
    <w:rsid w:val="001B249A"/>
    <w:rsid w:val="001C2688"/>
    <w:rsid w:val="001D31C7"/>
    <w:rsid w:val="001D78FD"/>
    <w:rsid w:val="001E3C05"/>
    <w:rsid w:val="001F17BF"/>
    <w:rsid w:val="001F6B23"/>
    <w:rsid w:val="0020070F"/>
    <w:rsid w:val="00203F9A"/>
    <w:rsid w:val="00207DF8"/>
    <w:rsid w:val="00212D64"/>
    <w:rsid w:val="0021610D"/>
    <w:rsid w:val="00223B36"/>
    <w:rsid w:val="00224C0B"/>
    <w:rsid w:val="00252CF4"/>
    <w:rsid w:val="00257306"/>
    <w:rsid w:val="00265843"/>
    <w:rsid w:val="002700B6"/>
    <w:rsid w:val="002823DD"/>
    <w:rsid w:val="002824F4"/>
    <w:rsid w:val="002A76B1"/>
    <w:rsid w:val="002B2B5A"/>
    <w:rsid w:val="002C363D"/>
    <w:rsid w:val="002C3927"/>
    <w:rsid w:val="002C57F9"/>
    <w:rsid w:val="002C7ABD"/>
    <w:rsid w:val="002D0A86"/>
    <w:rsid w:val="002D60E3"/>
    <w:rsid w:val="002E2703"/>
    <w:rsid w:val="002E7DD8"/>
    <w:rsid w:val="002F1242"/>
    <w:rsid w:val="002F5EE2"/>
    <w:rsid w:val="003033CE"/>
    <w:rsid w:val="0031166D"/>
    <w:rsid w:val="00312D4A"/>
    <w:rsid w:val="00314189"/>
    <w:rsid w:val="00321271"/>
    <w:rsid w:val="00325210"/>
    <w:rsid w:val="00330FF1"/>
    <w:rsid w:val="00331AA0"/>
    <w:rsid w:val="00333AE6"/>
    <w:rsid w:val="0033447E"/>
    <w:rsid w:val="00336210"/>
    <w:rsid w:val="00336BD6"/>
    <w:rsid w:val="00337333"/>
    <w:rsid w:val="00341E87"/>
    <w:rsid w:val="003531B7"/>
    <w:rsid w:val="00372F86"/>
    <w:rsid w:val="0037504B"/>
    <w:rsid w:val="003859D0"/>
    <w:rsid w:val="00393398"/>
    <w:rsid w:val="003A0105"/>
    <w:rsid w:val="003A0640"/>
    <w:rsid w:val="003A7AEF"/>
    <w:rsid w:val="003B005F"/>
    <w:rsid w:val="003C2873"/>
    <w:rsid w:val="003D1F25"/>
    <w:rsid w:val="003D438C"/>
    <w:rsid w:val="003E282D"/>
    <w:rsid w:val="003E2C1B"/>
    <w:rsid w:val="003E49FE"/>
    <w:rsid w:val="003F0D88"/>
    <w:rsid w:val="00404A8F"/>
    <w:rsid w:val="00406569"/>
    <w:rsid w:val="0041281A"/>
    <w:rsid w:val="0041707D"/>
    <w:rsid w:val="00417C19"/>
    <w:rsid w:val="00433C61"/>
    <w:rsid w:val="00434298"/>
    <w:rsid w:val="00437468"/>
    <w:rsid w:val="00441D81"/>
    <w:rsid w:val="00442923"/>
    <w:rsid w:val="00444535"/>
    <w:rsid w:val="00445E3C"/>
    <w:rsid w:val="004500EC"/>
    <w:rsid w:val="00451EA1"/>
    <w:rsid w:val="00452778"/>
    <w:rsid w:val="0046302A"/>
    <w:rsid w:val="00463CCC"/>
    <w:rsid w:val="00463EAB"/>
    <w:rsid w:val="00472F0B"/>
    <w:rsid w:val="0047693C"/>
    <w:rsid w:val="00477A53"/>
    <w:rsid w:val="00485A76"/>
    <w:rsid w:val="004917D7"/>
    <w:rsid w:val="00495EAF"/>
    <w:rsid w:val="004A2690"/>
    <w:rsid w:val="004A3279"/>
    <w:rsid w:val="004A50E2"/>
    <w:rsid w:val="004A771E"/>
    <w:rsid w:val="004B40DC"/>
    <w:rsid w:val="004D1E69"/>
    <w:rsid w:val="004D4C6E"/>
    <w:rsid w:val="004D59C4"/>
    <w:rsid w:val="004F1D04"/>
    <w:rsid w:val="004F20B0"/>
    <w:rsid w:val="00502046"/>
    <w:rsid w:val="005225CF"/>
    <w:rsid w:val="00523657"/>
    <w:rsid w:val="00524C36"/>
    <w:rsid w:val="00532C45"/>
    <w:rsid w:val="00541540"/>
    <w:rsid w:val="0054472C"/>
    <w:rsid w:val="0055137B"/>
    <w:rsid w:val="00554066"/>
    <w:rsid w:val="005619EE"/>
    <w:rsid w:val="005656A5"/>
    <w:rsid w:val="00566EB3"/>
    <w:rsid w:val="00590F46"/>
    <w:rsid w:val="00594DF6"/>
    <w:rsid w:val="005C1727"/>
    <w:rsid w:val="005C6CA0"/>
    <w:rsid w:val="005D3137"/>
    <w:rsid w:val="005E557E"/>
    <w:rsid w:val="005F33AB"/>
    <w:rsid w:val="005F70C8"/>
    <w:rsid w:val="006046A8"/>
    <w:rsid w:val="00620707"/>
    <w:rsid w:val="00626E0C"/>
    <w:rsid w:val="00627FC3"/>
    <w:rsid w:val="006303EF"/>
    <w:rsid w:val="006405F1"/>
    <w:rsid w:val="00644C58"/>
    <w:rsid w:val="00647CB8"/>
    <w:rsid w:val="00651618"/>
    <w:rsid w:val="0065672E"/>
    <w:rsid w:val="00657312"/>
    <w:rsid w:val="0065799A"/>
    <w:rsid w:val="00670542"/>
    <w:rsid w:val="00676163"/>
    <w:rsid w:val="0068414C"/>
    <w:rsid w:val="00690FAD"/>
    <w:rsid w:val="006929C3"/>
    <w:rsid w:val="006A2723"/>
    <w:rsid w:val="006A3016"/>
    <w:rsid w:val="006C016C"/>
    <w:rsid w:val="006C4B4E"/>
    <w:rsid w:val="006C7B69"/>
    <w:rsid w:val="006D1102"/>
    <w:rsid w:val="006D2CC4"/>
    <w:rsid w:val="006D445F"/>
    <w:rsid w:val="006E3CE4"/>
    <w:rsid w:val="006F3B0D"/>
    <w:rsid w:val="007057B3"/>
    <w:rsid w:val="00707610"/>
    <w:rsid w:val="0071144F"/>
    <w:rsid w:val="00722822"/>
    <w:rsid w:val="0072438B"/>
    <w:rsid w:val="007327E8"/>
    <w:rsid w:val="00733CF1"/>
    <w:rsid w:val="0075420F"/>
    <w:rsid w:val="0075439A"/>
    <w:rsid w:val="007550A4"/>
    <w:rsid w:val="00761290"/>
    <w:rsid w:val="007668E0"/>
    <w:rsid w:val="00767A1A"/>
    <w:rsid w:val="00767F15"/>
    <w:rsid w:val="00773665"/>
    <w:rsid w:val="0077664E"/>
    <w:rsid w:val="00776A07"/>
    <w:rsid w:val="007860EC"/>
    <w:rsid w:val="00795A96"/>
    <w:rsid w:val="007A4002"/>
    <w:rsid w:val="007A5637"/>
    <w:rsid w:val="007B48D9"/>
    <w:rsid w:val="007B71BD"/>
    <w:rsid w:val="007C0F22"/>
    <w:rsid w:val="007C3599"/>
    <w:rsid w:val="007D4987"/>
    <w:rsid w:val="007D58F0"/>
    <w:rsid w:val="007E560A"/>
    <w:rsid w:val="007E645E"/>
    <w:rsid w:val="007F441D"/>
    <w:rsid w:val="007F4C85"/>
    <w:rsid w:val="007F578B"/>
    <w:rsid w:val="00817B58"/>
    <w:rsid w:val="0082515C"/>
    <w:rsid w:val="00837E12"/>
    <w:rsid w:val="00850C35"/>
    <w:rsid w:val="00853F9D"/>
    <w:rsid w:val="00855BF0"/>
    <w:rsid w:val="00856E79"/>
    <w:rsid w:val="00857A1E"/>
    <w:rsid w:val="008608B4"/>
    <w:rsid w:val="00864CA3"/>
    <w:rsid w:val="008712B3"/>
    <w:rsid w:val="00882891"/>
    <w:rsid w:val="008849D6"/>
    <w:rsid w:val="00884B7B"/>
    <w:rsid w:val="00895E78"/>
    <w:rsid w:val="00896D1F"/>
    <w:rsid w:val="008A26F6"/>
    <w:rsid w:val="008A33C0"/>
    <w:rsid w:val="008B341F"/>
    <w:rsid w:val="008D5835"/>
    <w:rsid w:val="008D67C1"/>
    <w:rsid w:val="008E2DF4"/>
    <w:rsid w:val="008F1F8C"/>
    <w:rsid w:val="008F3EF2"/>
    <w:rsid w:val="009050ED"/>
    <w:rsid w:val="009064F5"/>
    <w:rsid w:val="00916486"/>
    <w:rsid w:val="00917143"/>
    <w:rsid w:val="00926FA8"/>
    <w:rsid w:val="00937684"/>
    <w:rsid w:val="00940B41"/>
    <w:rsid w:val="00947370"/>
    <w:rsid w:val="00962D89"/>
    <w:rsid w:val="00965E43"/>
    <w:rsid w:val="009873C7"/>
    <w:rsid w:val="009877AF"/>
    <w:rsid w:val="009878E5"/>
    <w:rsid w:val="00995BA4"/>
    <w:rsid w:val="009A77E6"/>
    <w:rsid w:val="009C229E"/>
    <w:rsid w:val="009C6AF3"/>
    <w:rsid w:val="009D3171"/>
    <w:rsid w:val="009D31BE"/>
    <w:rsid w:val="009D3912"/>
    <w:rsid w:val="009D505B"/>
    <w:rsid w:val="009E1BBE"/>
    <w:rsid w:val="009E478C"/>
    <w:rsid w:val="009E4E83"/>
    <w:rsid w:val="009F0713"/>
    <w:rsid w:val="009F17BC"/>
    <w:rsid w:val="009F191B"/>
    <w:rsid w:val="009F3C4F"/>
    <w:rsid w:val="009F5BB0"/>
    <w:rsid w:val="00A0225C"/>
    <w:rsid w:val="00A04766"/>
    <w:rsid w:val="00A04A1C"/>
    <w:rsid w:val="00A07CAB"/>
    <w:rsid w:val="00A07F3F"/>
    <w:rsid w:val="00A13B39"/>
    <w:rsid w:val="00A15CA5"/>
    <w:rsid w:val="00A2359C"/>
    <w:rsid w:val="00A451FC"/>
    <w:rsid w:val="00A548DA"/>
    <w:rsid w:val="00A70DA8"/>
    <w:rsid w:val="00A72F02"/>
    <w:rsid w:val="00A73D0B"/>
    <w:rsid w:val="00A837E1"/>
    <w:rsid w:val="00A91EFD"/>
    <w:rsid w:val="00AA5E80"/>
    <w:rsid w:val="00AE10B7"/>
    <w:rsid w:val="00AE3783"/>
    <w:rsid w:val="00B0045B"/>
    <w:rsid w:val="00B10659"/>
    <w:rsid w:val="00B110CD"/>
    <w:rsid w:val="00B16E47"/>
    <w:rsid w:val="00B32A02"/>
    <w:rsid w:val="00B3580F"/>
    <w:rsid w:val="00B40415"/>
    <w:rsid w:val="00B41508"/>
    <w:rsid w:val="00B42033"/>
    <w:rsid w:val="00B43540"/>
    <w:rsid w:val="00B44FBE"/>
    <w:rsid w:val="00B46D8C"/>
    <w:rsid w:val="00B55D06"/>
    <w:rsid w:val="00B5683B"/>
    <w:rsid w:val="00B86B27"/>
    <w:rsid w:val="00BA222F"/>
    <w:rsid w:val="00BA3D5C"/>
    <w:rsid w:val="00BC58E7"/>
    <w:rsid w:val="00BD27F7"/>
    <w:rsid w:val="00BD2BEE"/>
    <w:rsid w:val="00BD7911"/>
    <w:rsid w:val="00BF02B4"/>
    <w:rsid w:val="00C118C3"/>
    <w:rsid w:val="00C15300"/>
    <w:rsid w:val="00C1696C"/>
    <w:rsid w:val="00C2142D"/>
    <w:rsid w:val="00C21A58"/>
    <w:rsid w:val="00C373AF"/>
    <w:rsid w:val="00C40796"/>
    <w:rsid w:val="00C446D7"/>
    <w:rsid w:val="00C465D5"/>
    <w:rsid w:val="00C4720E"/>
    <w:rsid w:val="00C51B77"/>
    <w:rsid w:val="00C55E57"/>
    <w:rsid w:val="00C6113A"/>
    <w:rsid w:val="00C613E3"/>
    <w:rsid w:val="00C6374A"/>
    <w:rsid w:val="00C647C9"/>
    <w:rsid w:val="00C6630F"/>
    <w:rsid w:val="00C71EC8"/>
    <w:rsid w:val="00C73BC4"/>
    <w:rsid w:val="00C86FC2"/>
    <w:rsid w:val="00C873DD"/>
    <w:rsid w:val="00C931FC"/>
    <w:rsid w:val="00C962EE"/>
    <w:rsid w:val="00CA3223"/>
    <w:rsid w:val="00CB0AC2"/>
    <w:rsid w:val="00CB4100"/>
    <w:rsid w:val="00CC2486"/>
    <w:rsid w:val="00CD362F"/>
    <w:rsid w:val="00CD402E"/>
    <w:rsid w:val="00CD4EBC"/>
    <w:rsid w:val="00CE7DFE"/>
    <w:rsid w:val="00D10375"/>
    <w:rsid w:val="00D205C3"/>
    <w:rsid w:val="00D20940"/>
    <w:rsid w:val="00D22BA7"/>
    <w:rsid w:val="00D2358C"/>
    <w:rsid w:val="00D26C4B"/>
    <w:rsid w:val="00D27827"/>
    <w:rsid w:val="00D31A33"/>
    <w:rsid w:val="00D7589A"/>
    <w:rsid w:val="00D76FC0"/>
    <w:rsid w:val="00D8356D"/>
    <w:rsid w:val="00D955DC"/>
    <w:rsid w:val="00DA6C16"/>
    <w:rsid w:val="00DB06AD"/>
    <w:rsid w:val="00DB4385"/>
    <w:rsid w:val="00DC7932"/>
    <w:rsid w:val="00DD2732"/>
    <w:rsid w:val="00DE100F"/>
    <w:rsid w:val="00DE57E9"/>
    <w:rsid w:val="00DF0DC1"/>
    <w:rsid w:val="00DF3985"/>
    <w:rsid w:val="00E15ED1"/>
    <w:rsid w:val="00E16A41"/>
    <w:rsid w:val="00E252A5"/>
    <w:rsid w:val="00E30B22"/>
    <w:rsid w:val="00E31A58"/>
    <w:rsid w:val="00E41513"/>
    <w:rsid w:val="00E41E01"/>
    <w:rsid w:val="00E4421B"/>
    <w:rsid w:val="00E552C6"/>
    <w:rsid w:val="00E57795"/>
    <w:rsid w:val="00E70E93"/>
    <w:rsid w:val="00E71174"/>
    <w:rsid w:val="00E85435"/>
    <w:rsid w:val="00E954F4"/>
    <w:rsid w:val="00EA0CB0"/>
    <w:rsid w:val="00EC243E"/>
    <w:rsid w:val="00EC79A1"/>
    <w:rsid w:val="00ED2422"/>
    <w:rsid w:val="00ED57A0"/>
    <w:rsid w:val="00ED7D56"/>
    <w:rsid w:val="00EF5253"/>
    <w:rsid w:val="00EF60B1"/>
    <w:rsid w:val="00F027F5"/>
    <w:rsid w:val="00F058A1"/>
    <w:rsid w:val="00F21499"/>
    <w:rsid w:val="00F22263"/>
    <w:rsid w:val="00F33B55"/>
    <w:rsid w:val="00F43156"/>
    <w:rsid w:val="00F47417"/>
    <w:rsid w:val="00F52DF8"/>
    <w:rsid w:val="00F72F8E"/>
    <w:rsid w:val="00F81F5B"/>
    <w:rsid w:val="00F84A27"/>
    <w:rsid w:val="00F95825"/>
    <w:rsid w:val="00F970CC"/>
    <w:rsid w:val="00FA0E83"/>
    <w:rsid w:val="00FA5FEE"/>
    <w:rsid w:val="00FB0607"/>
    <w:rsid w:val="00FB482A"/>
    <w:rsid w:val="00FB4EFC"/>
    <w:rsid w:val="00FB5C83"/>
    <w:rsid w:val="00FC0896"/>
    <w:rsid w:val="00FC5BEF"/>
    <w:rsid w:val="00FD09E1"/>
    <w:rsid w:val="00FD17A7"/>
    <w:rsid w:val="00FD5EA7"/>
    <w:rsid w:val="00FE039E"/>
    <w:rsid w:val="00FF0194"/>
    <w:rsid w:val="00FF5C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64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A01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A010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rsid w:val="00177E24"/>
    <w:pPr>
      <w:tabs>
        <w:tab w:val="center" w:pos="4680"/>
        <w:tab w:val="right" w:pos="9360"/>
      </w:tabs>
    </w:pPr>
  </w:style>
  <w:style w:type="character" w:customStyle="1" w:styleId="HeaderChar">
    <w:name w:val="Header Char"/>
    <w:basedOn w:val="DefaultParagraphFont"/>
    <w:link w:val="Header"/>
    <w:uiPriority w:val="99"/>
    <w:rsid w:val="00177E24"/>
    <w:rPr>
      <w:sz w:val="24"/>
      <w:szCs w:val="24"/>
    </w:rPr>
  </w:style>
  <w:style w:type="paragraph" w:styleId="Footer">
    <w:name w:val="footer"/>
    <w:basedOn w:val="Normal"/>
    <w:link w:val="FooterChar"/>
    <w:uiPriority w:val="99"/>
    <w:rsid w:val="00177E24"/>
    <w:pPr>
      <w:tabs>
        <w:tab w:val="center" w:pos="4680"/>
        <w:tab w:val="right" w:pos="9360"/>
      </w:tabs>
    </w:pPr>
  </w:style>
  <w:style w:type="character" w:customStyle="1" w:styleId="FooterChar">
    <w:name w:val="Footer Char"/>
    <w:basedOn w:val="DefaultParagraphFont"/>
    <w:link w:val="Footer"/>
    <w:uiPriority w:val="99"/>
    <w:rsid w:val="00177E24"/>
    <w:rPr>
      <w:sz w:val="24"/>
      <w:szCs w:val="24"/>
    </w:rPr>
  </w:style>
  <w:style w:type="paragraph" w:styleId="BalloonText">
    <w:name w:val="Balloon Text"/>
    <w:basedOn w:val="Normal"/>
    <w:link w:val="BalloonTextChar"/>
    <w:rsid w:val="00177E24"/>
    <w:rPr>
      <w:rFonts w:ascii="Tahoma" w:hAnsi="Tahoma" w:cs="Tahoma"/>
      <w:sz w:val="16"/>
      <w:szCs w:val="16"/>
    </w:rPr>
  </w:style>
  <w:style w:type="character" w:customStyle="1" w:styleId="BalloonTextChar">
    <w:name w:val="Balloon Text Char"/>
    <w:basedOn w:val="DefaultParagraphFont"/>
    <w:link w:val="BalloonText"/>
    <w:rsid w:val="00177E24"/>
    <w:rPr>
      <w:rFonts w:ascii="Tahoma" w:hAnsi="Tahoma" w:cs="Tahoma"/>
      <w:sz w:val="16"/>
      <w:szCs w:val="16"/>
    </w:rPr>
  </w:style>
  <w:style w:type="character" w:styleId="Hyperlink">
    <w:name w:val="Hyperlink"/>
    <w:basedOn w:val="DefaultParagraphFont"/>
    <w:uiPriority w:val="99"/>
    <w:unhideWhenUsed/>
    <w:rsid w:val="00331AA0"/>
    <w:rPr>
      <w:strike w:val="0"/>
      <w:dstrike w:val="0"/>
      <w:color w:val="0066FF"/>
      <w:u w:val="none"/>
      <w:effect w:val="none"/>
    </w:rPr>
  </w:style>
  <w:style w:type="character" w:customStyle="1" w:styleId="scrollrefelements">
    <w:name w:val="scrollrefelements"/>
    <w:basedOn w:val="DefaultParagraphFont"/>
    <w:rsid w:val="00331AA0"/>
  </w:style>
  <w:style w:type="paragraph" w:styleId="NormalWeb">
    <w:name w:val="Normal (Web)"/>
    <w:basedOn w:val="Normal"/>
    <w:rsid w:val="001000CF"/>
  </w:style>
  <w:style w:type="paragraph" w:styleId="NoSpacing">
    <w:name w:val="No Spacing"/>
    <w:link w:val="NoSpacingChar"/>
    <w:uiPriority w:val="1"/>
    <w:qFormat/>
    <w:rsid w:val="009E4E8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E4E83"/>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450245785">
      <w:bodyDiv w:val="1"/>
      <w:marLeft w:val="0"/>
      <w:marRight w:val="0"/>
      <w:marTop w:val="0"/>
      <w:marBottom w:val="0"/>
      <w:divBdr>
        <w:top w:val="none" w:sz="0" w:space="0" w:color="auto"/>
        <w:left w:val="none" w:sz="0" w:space="0" w:color="auto"/>
        <w:bottom w:val="none" w:sz="0" w:space="0" w:color="auto"/>
        <w:right w:val="none" w:sz="0" w:space="0" w:color="auto"/>
      </w:divBdr>
      <w:divsChild>
        <w:div w:id="364793946">
          <w:marLeft w:val="200"/>
          <w:marRight w:val="200"/>
          <w:marTop w:val="0"/>
          <w:marBottom w:val="200"/>
          <w:divBdr>
            <w:top w:val="none" w:sz="0" w:space="0" w:color="auto"/>
            <w:left w:val="none" w:sz="0" w:space="0" w:color="auto"/>
            <w:bottom w:val="none" w:sz="0" w:space="0" w:color="auto"/>
            <w:right w:val="none" w:sz="0" w:space="0" w:color="auto"/>
          </w:divBdr>
          <w:divsChild>
            <w:div w:id="28536100">
              <w:marLeft w:val="0"/>
              <w:marRight w:val="0"/>
              <w:marTop w:val="0"/>
              <w:marBottom w:val="0"/>
              <w:divBdr>
                <w:top w:val="none" w:sz="0" w:space="0" w:color="auto"/>
                <w:left w:val="none" w:sz="0" w:space="0" w:color="auto"/>
                <w:bottom w:val="none" w:sz="0" w:space="0" w:color="auto"/>
                <w:right w:val="none" w:sz="0" w:space="0" w:color="auto"/>
              </w:divBdr>
              <w:divsChild>
                <w:div w:id="20536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00297">
      <w:bodyDiv w:val="1"/>
      <w:marLeft w:val="0"/>
      <w:marRight w:val="0"/>
      <w:marTop w:val="0"/>
      <w:marBottom w:val="0"/>
      <w:divBdr>
        <w:top w:val="none" w:sz="0" w:space="0" w:color="auto"/>
        <w:left w:val="none" w:sz="0" w:space="0" w:color="auto"/>
        <w:bottom w:val="none" w:sz="0" w:space="0" w:color="auto"/>
        <w:right w:val="none" w:sz="0" w:space="0" w:color="auto"/>
      </w:divBdr>
      <w:divsChild>
        <w:div w:id="1815561205">
          <w:marLeft w:val="0"/>
          <w:marRight w:val="0"/>
          <w:marTop w:val="0"/>
          <w:marBottom w:val="200"/>
          <w:divBdr>
            <w:top w:val="none" w:sz="0" w:space="0" w:color="auto"/>
            <w:left w:val="single" w:sz="2" w:space="0" w:color="FFFFFF"/>
            <w:bottom w:val="none" w:sz="0" w:space="0" w:color="auto"/>
            <w:right w:val="single" w:sz="18" w:space="0" w:color="FFFFFF"/>
          </w:divBdr>
          <w:divsChild>
            <w:div w:id="1241063436">
              <w:marLeft w:val="0"/>
              <w:marRight w:val="0"/>
              <w:marTop w:val="0"/>
              <w:marBottom w:val="0"/>
              <w:divBdr>
                <w:top w:val="none" w:sz="0" w:space="0" w:color="auto"/>
                <w:left w:val="none" w:sz="0" w:space="0" w:color="auto"/>
                <w:bottom w:val="none" w:sz="0" w:space="0" w:color="auto"/>
                <w:right w:val="none" w:sz="0" w:space="0" w:color="auto"/>
              </w:divBdr>
              <w:divsChild>
                <w:div w:id="1426727810">
                  <w:marLeft w:val="0"/>
                  <w:marRight w:val="0"/>
                  <w:marTop w:val="0"/>
                  <w:marBottom w:val="0"/>
                  <w:divBdr>
                    <w:top w:val="none" w:sz="0" w:space="0" w:color="auto"/>
                    <w:left w:val="none" w:sz="0" w:space="0" w:color="auto"/>
                    <w:bottom w:val="none" w:sz="0" w:space="0" w:color="auto"/>
                    <w:right w:val="none" w:sz="0" w:space="0" w:color="auto"/>
                  </w:divBdr>
                  <w:divsChild>
                    <w:div w:id="1256551184">
                      <w:marLeft w:val="0"/>
                      <w:marRight w:val="0"/>
                      <w:marTop w:val="0"/>
                      <w:marBottom w:val="0"/>
                      <w:divBdr>
                        <w:top w:val="none" w:sz="0" w:space="0" w:color="auto"/>
                        <w:left w:val="none" w:sz="0" w:space="0" w:color="auto"/>
                        <w:bottom w:val="none" w:sz="0" w:space="0" w:color="auto"/>
                        <w:right w:val="none" w:sz="0" w:space="0" w:color="auto"/>
                      </w:divBdr>
                      <w:divsChild>
                        <w:div w:id="3240957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37856242">
      <w:bodyDiv w:val="1"/>
      <w:marLeft w:val="0"/>
      <w:marRight w:val="0"/>
      <w:marTop w:val="0"/>
      <w:marBottom w:val="15"/>
      <w:divBdr>
        <w:top w:val="none" w:sz="0" w:space="0" w:color="auto"/>
        <w:left w:val="none" w:sz="0" w:space="0" w:color="auto"/>
        <w:bottom w:val="none" w:sz="0" w:space="0" w:color="auto"/>
        <w:right w:val="none" w:sz="0" w:space="0" w:color="auto"/>
      </w:divBdr>
      <w:divsChild>
        <w:div w:id="1525050818">
          <w:marLeft w:val="0"/>
          <w:marRight w:val="0"/>
          <w:marTop w:val="0"/>
          <w:marBottom w:val="0"/>
          <w:divBdr>
            <w:top w:val="none" w:sz="0" w:space="0" w:color="auto"/>
            <w:left w:val="none" w:sz="0" w:space="0" w:color="auto"/>
            <w:bottom w:val="none" w:sz="0" w:space="0" w:color="auto"/>
            <w:right w:val="none" w:sz="0" w:space="0" w:color="auto"/>
          </w:divBdr>
          <w:divsChild>
            <w:div w:id="1005789555">
              <w:marLeft w:val="0"/>
              <w:marRight w:val="0"/>
              <w:marTop w:val="0"/>
              <w:marBottom w:val="0"/>
              <w:divBdr>
                <w:top w:val="none" w:sz="0" w:space="0" w:color="auto"/>
                <w:left w:val="none" w:sz="0" w:space="0" w:color="auto"/>
                <w:bottom w:val="none" w:sz="0" w:space="0" w:color="auto"/>
                <w:right w:val="none" w:sz="0" w:space="0" w:color="auto"/>
              </w:divBdr>
              <w:divsChild>
                <w:div w:id="460223738">
                  <w:marLeft w:val="0"/>
                  <w:marRight w:val="0"/>
                  <w:marTop w:val="0"/>
                  <w:marBottom w:val="0"/>
                  <w:divBdr>
                    <w:top w:val="none" w:sz="0" w:space="0" w:color="auto"/>
                    <w:left w:val="none" w:sz="0" w:space="0" w:color="auto"/>
                    <w:bottom w:val="none" w:sz="0" w:space="0" w:color="auto"/>
                    <w:right w:val="none" w:sz="0" w:space="0" w:color="auto"/>
                  </w:divBdr>
                  <w:divsChild>
                    <w:div w:id="1811555915">
                      <w:marLeft w:val="0"/>
                      <w:marRight w:val="0"/>
                      <w:marTop w:val="0"/>
                      <w:marBottom w:val="0"/>
                      <w:divBdr>
                        <w:top w:val="none" w:sz="0" w:space="0" w:color="auto"/>
                        <w:left w:val="none" w:sz="0" w:space="0" w:color="auto"/>
                        <w:bottom w:val="none" w:sz="0" w:space="0" w:color="auto"/>
                        <w:right w:val="none" w:sz="0" w:space="0" w:color="auto"/>
                      </w:divBdr>
                      <w:divsChild>
                        <w:div w:id="975262709">
                          <w:marLeft w:val="0"/>
                          <w:marRight w:val="0"/>
                          <w:marTop w:val="0"/>
                          <w:marBottom w:val="0"/>
                          <w:divBdr>
                            <w:top w:val="none" w:sz="0" w:space="0" w:color="auto"/>
                            <w:left w:val="none" w:sz="0" w:space="0" w:color="auto"/>
                            <w:bottom w:val="none" w:sz="0" w:space="0" w:color="auto"/>
                            <w:right w:val="none" w:sz="0" w:space="0" w:color="auto"/>
                          </w:divBdr>
                          <w:divsChild>
                            <w:div w:id="1607081027">
                              <w:marLeft w:val="150"/>
                              <w:marRight w:val="150"/>
                              <w:marTop w:val="0"/>
                              <w:marBottom w:val="0"/>
                              <w:divBdr>
                                <w:top w:val="none" w:sz="0" w:space="0" w:color="auto"/>
                                <w:left w:val="none" w:sz="0" w:space="0" w:color="auto"/>
                                <w:bottom w:val="none" w:sz="0" w:space="0" w:color="auto"/>
                                <w:right w:val="none" w:sz="0" w:space="0" w:color="auto"/>
                              </w:divBdr>
                              <w:divsChild>
                                <w:div w:id="2016181382">
                                  <w:marLeft w:val="0"/>
                                  <w:marRight w:val="0"/>
                                  <w:marTop w:val="300"/>
                                  <w:marBottom w:val="300"/>
                                  <w:divBdr>
                                    <w:top w:val="none" w:sz="0" w:space="0" w:color="auto"/>
                                    <w:left w:val="none" w:sz="0" w:space="0" w:color="auto"/>
                                    <w:bottom w:val="none" w:sz="0" w:space="0" w:color="auto"/>
                                    <w:right w:val="none" w:sz="0" w:space="0" w:color="auto"/>
                                  </w:divBdr>
                                  <w:divsChild>
                                    <w:div w:id="73092805">
                                      <w:marLeft w:val="0"/>
                                      <w:marRight w:val="0"/>
                                      <w:marTop w:val="0"/>
                                      <w:marBottom w:val="0"/>
                                      <w:divBdr>
                                        <w:top w:val="none" w:sz="0" w:space="0" w:color="auto"/>
                                        <w:left w:val="none" w:sz="0" w:space="0" w:color="auto"/>
                                        <w:bottom w:val="none" w:sz="0" w:space="0" w:color="auto"/>
                                        <w:right w:val="none" w:sz="0" w:space="0" w:color="auto"/>
                                      </w:divBdr>
                                      <w:divsChild>
                                        <w:div w:id="877469561">
                                          <w:marLeft w:val="0"/>
                                          <w:marRight w:val="0"/>
                                          <w:marTop w:val="0"/>
                                          <w:marBottom w:val="0"/>
                                          <w:divBdr>
                                            <w:top w:val="none" w:sz="0" w:space="0" w:color="auto"/>
                                            <w:left w:val="none" w:sz="0" w:space="0" w:color="auto"/>
                                            <w:bottom w:val="none" w:sz="0" w:space="0" w:color="auto"/>
                                            <w:right w:val="none" w:sz="0" w:space="0" w:color="auto"/>
                                          </w:divBdr>
                                          <w:divsChild>
                                            <w:div w:id="1817332596">
                                              <w:marLeft w:val="0"/>
                                              <w:marRight w:val="0"/>
                                              <w:marTop w:val="0"/>
                                              <w:marBottom w:val="0"/>
                                              <w:divBdr>
                                                <w:top w:val="none" w:sz="0" w:space="0" w:color="auto"/>
                                                <w:left w:val="none" w:sz="0" w:space="0" w:color="auto"/>
                                                <w:bottom w:val="none" w:sz="0" w:space="0" w:color="auto"/>
                                                <w:right w:val="none" w:sz="0" w:space="0" w:color="auto"/>
                                              </w:divBdr>
                                              <w:divsChild>
                                                <w:div w:id="2086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8225640">
      <w:bodyDiv w:val="1"/>
      <w:marLeft w:val="0"/>
      <w:marRight w:val="0"/>
      <w:marTop w:val="0"/>
      <w:marBottom w:val="0"/>
      <w:divBdr>
        <w:top w:val="none" w:sz="0" w:space="0" w:color="auto"/>
        <w:left w:val="none" w:sz="0" w:space="0" w:color="auto"/>
        <w:bottom w:val="none" w:sz="0" w:space="0" w:color="auto"/>
        <w:right w:val="none" w:sz="0" w:space="0" w:color="auto"/>
      </w:divBdr>
      <w:divsChild>
        <w:div w:id="1872305943">
          <w:marLeft w:val="0"/>
          <w:marRight w:val="0"/>
          <w:marTop w:val="0"/>
          <w:marBottom w:val="200"/>
          <w:divBdr>
            <w:top w:val="none" w:sz="0" w:space="0" w:color="auto"/>
            <w:left w:val="single" w:sz="2" w:space="0" w:color="FFFFFF"/>
            <w:bottom w:val="none" w:sz="0" w:space="0" w:color="auto"/>
            <w:right w:val="single" w:sz="18" w:space="0" w:color="FFFFFF"/>
          </w:divBdr>
          <w:divsChild>
            <w:div w:id="1643538102">
              <w:marLeft w:val="0"/>
              <w:marRight w:val="0"/>
              <w:marTop w:val="0"/>
              <w:marBottom w:val="0"/>
              <w:divBdr>
                <w:top w:val="none" w:sz="0" w:space="0" w:color="auto"/>
                <w:left w:val="none" w:sz="0" w:space="0" w:color="auto"/>
                <w:bottom w:val="none" w:sz="0" w:space="0" w:color="auto"/>
                <w:right w:val="none" w:sz="0" w:space="0" w:color="auto"/>
              </w:divBdr>
              <w:divsChild>
                <w:div w:id="587471546">
                  <w:marLeft w:val="0"/>
                  <w:marRight w:val="0"/>
                  <w:marTop w:val="0"/>
                  <w:marBottom w:val="0"/>
                  <w:divBdr>
                    <w:top w:val="none" w:sz="0" w:space="0" w:color="auto"/>
                    <w:left w:val="none" w:sz="0" w:space="0" w:color="auto"/>
                    <w:bottom w:val="none" w:sz="0" w:space="0" w:color="auto"/>
                    <w:right w:val="none" w:sz="0" w:space="0" w:color="auto"/>
                  </w:divBdr>
                  <w:divsChild>
                    <w:div w:id="674649985">
                      <w:marLeft w:val="0"/>
                      <w:marRight w:val="0"/>
                      <w:marTop w:val="0"/>
                      <w:marBottom w:val="0"/>
                      <w:divBdr>
                        <w:top w:val="none" w:sz="0" w:space="0" w:color="auto"/>
                        <w:left w:val="none" w:sz="0" w:space="0" w:color="auto"/>
                        <w:bottom w:val="none" w:sz="0" w:space="0" w:color="auto"/>
                        <w:right w:val="none" w:sz="0" w:space="0" w:color="auto"/>
                      </w:divBdr>
                      <w:divsChild>
                        <w:div w:id="7448365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82522772">
      <w:bodyDiv w:val="1"/>
      <w:marLeft w:val="0"/>
      <w:marRight w:val="0"/>
      <w:marTop w:val="0"/>
      <w:marBottom w:val="15"/>
      <w:divBdr>
        <w:top w:val="none" w:sz="0" w:space="0" w:color="auto"/>
        <w:left w:val="none" w:sz="0" w:space="0" w:color="auto"/>
        <w:bottom w:val="none" w:sz="0" w:space="0" w:color="auto"/>
        <w:right w:val="none" w:sz="0" w:space="0" w:color="auto"/>
      </w:divBdr>
      <w:divsChild>
        <w:div w:id="2065525493">
          <w:marLeft w:val="0"/>
          <w:marRight w:val="0"/>
          <w:marTop w:val="0"/>
          <w:marBottom w:val="0"/>
          <w:divBdr>
            <w:top w:val="none" w:sz="0" w:space="0" w:color="auto"/>
            <w:left w:val="none" w:sz="0" w:space="0" w:color="auto"/>
            <w:bottom w:val="none" w:sz="0" w:space="0" w:color="auto"/>
            <w:right w:val="none" w:sz="0" w:space="0" w:color="auto"/>
          </w:divBdr>
          <w:divsChild>
            <w:div w:id="1913928378">
              <w:marLeft w:val="0"/>
              <w:marRight w:val="0"/>
              <w:marTop w:val="0"/>
              <w:marBottom w:val="0"/>
              <w:divBdr>
                <w:top w:val="none" w:sz="0" w:space="0" w:color="auto"/>
                <w:left w:val="none" w:sz="0" w:space="0" w:color="auto"/>
                <w:bottom w:val="none" w:sz="0" w:space="0" w:color="auto"/>
                <w:right w:val="none" w:sz="0" w:space="0" w:color="auto"/>
              </w:divBdr>
              <w:divsChild>
                <w:div w:id="1478381546">
                  <w:marLeft w:val="0"/>
                  <w:marRight w:val="0"/>
                  <w:marTop w:val="0"/>
                  <w:marBottom w:val="0"/>
                  <w:divBdr>
                    <w:top w:val="none" w:sz="0" w:space="0" w:color="auto"/>
                    <w:left w:val="none" w:sz="0" w:space="0" w:color="auto"/>
                    <w:bottom w:val="none" w:sz="0" w:space="0" w:color="auto"/>
                    <w:right w:val="none" w:sz="0" w:space="0" w:color="auto"/>
                  </w:divBdr>
                  <w:divsChild>
                    <w:div w:id="2118211058">
                      <w:marLeft w:val="0"/>
                      <w:marRight w:val="0"/>
                      <w:marTop w:val="0"/>
                      <w:marBottom w:val="0"/>
                      <w:divBdr>
                        <w:top w:val="none" w:sz="0" w:space="0" w:color="auto"/>
                        <w:left w:val="none" w:sz="0" w:space="0" w:color="auto"/>
                        <w:bottom w:val="none" w:sz="0" w:space="0" w:color="auto"/>
                        <w:right w:val="none" w:sz="0" w:space="0" w:color="auto"/>
                      </w:divBdr>
                      <w:divsChild>
                        <w:div w:id="914508848">
                          <w:marLeft w:val="0"/>
                          <w:marRight w:val="0"/>
                          <w:marTop w:val="0"/>
                          <w:marBottom w:val="0"/>
                          <w:divBdr>
                            <w:top w:val="none" w:sz="0" w:space="0" w:color="auto"/>
                            <w:left w:val="none" w:sz="0" w:space="0" w:color="auto"/>
                            <w:bottom w:val="none" w:sz="0" w:space="0" w:color="auto"/>
                            <w:right w:val="none" w:sz="0" w:space="0" w:color="auto"/>
                          </w:divBdr>
                          <w:divsChild>
                            <w:div w:id="1620339214">
                              <w:marLeft w:val="150"/>
                              <w:marRight w:val="150"/>
                              <w:marTop w:val="0"/>
                              <w:marBottom w:val="0"/>
                              <w:divBdr>
                                <w:top w:val="none" w:sz="0" w:space="0" w:color="auto"/>
                                <w:left w:val="none" w:sz="0" w:space="0" w:color="auto"/>
                                <w:bottom w:val="none" w:sz="0" w:space="0" w:color="auto"/>
                                <w:right w:val="none" w:sz="0" w:space="0" w:color="auto"/>
                              </w:divBdr>
                              <w:divsChild>
                                <w:div w:id="1727097262">
                                  <w:marLeft w:val="0"/>
                                  <w:marRight w:val="0"/>
                                  <w:marTop w:val="300"/>
                                  <w:marBottom w:val="300"/>
                                  <w:divBdr>
                                    <w:top w:val="none" w:sz="0" w:space="0" w:color="auto"/>
                                    <w:left w:val="none" w:sz="0" w:space="0" w:color="auto"/>
                                    <w:bottom w:val="none" w:sz="0" w:space="0" w:color="auto"/>
                                    <w:right w:val="none" w:sz="0" w:space="0" w:color="auto"/>
                                  </w:divBdr>
                                  <w:divsChild>
                                    <w:div w:id="1162282697">
                                      <w:marLeft w:val="0"/>
                                      <w:marRight w:val="0"/>
                                      <w:marTop w:val="0"/>
                                      <w:marBottom w:val="0"/>
                                      <w:divBdr>
                                        <w:top w:val="none" w:sz="0" w:space="0" w:color="auto"/>
                                        <w:left w:val="none" w:sz="0" w:space="0" w:color="auto"/>
                                        <w:bottom w:val="none" w:sz="0" w:space="0" w:color="auto"/>
                                        <w:right w:val="none" w:sz="0" w:space="0" w:color="auto"/>
                                      </w:divBdr>
                                      <w:divsChild>
                                        <w:div w:id="489099193">
                                          <w:marLeft w:val="0"/>
                                          <w:marRight w:val="0"/>
                                          <w:marTop w:val="0"/>
                                          <w:marBottom w:val="0"/>
                                          <w:divBdr>
                                            <w:top w:val="none" w:sz="0" w:space="0" w:color="auto"/>
                                            <w:left w:val="none" w:sz="0" w:space="0" w:color="auto"/>
                                            <w:bottom w:val="none" w:sz="0" w:space="0" w:color="auto"/>
                                            <w:right w:val="none" w:sz="0" w:space="0" w:color="auto"/>
                                          </w:divBdr>
                                          <w:divsChild>
                                            <w:div w:id="1943952868">
                                              <w:marLeft w:val="0"/>
                                              <w:marRight w:val="0"/>
                                              <w:marTop w:val="0"/>
                                              <w:marBottom w:val="0"/>
                                              <w:divBdr>
                                                <w:top w:val="none" w:sz="0" w:space="0" w:color="auto"/>
                                                <w:left w:val="none" w:sz="0" w:space="0" w:color="auto"/>
                                                <w:bottom w:val="none" w:sz="0" w:space="0" w:color="auto"/>
                                                <w:right w:val="none" w:sz="0" w:space="0" w:color="auto"/>
                                              </w:divBdr>
                                              <w:divsChild>
                                                <w:div w:id="115337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lz.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1D0A81-5E47-4F48-A2AC-F0E8FBCEC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1522</Words>
  <Characters>9035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Evaluating the use of neuroimaging in diagnosing dementia</vt:lpstr>
    </vt:vector>
  </TitlesOfParts>
  <Company> </Company>
  <LinksUpToDate>false</LinksUpToDate>
  <CharactersWithSpaces>10536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Evaluating the use of neuroimaging in diagnosing dementia</dc:title>
  <dc:subject/>
  <dc:creator>Jsestini</dc:creator>
  <cp:keywords/>
  <dc:description/>
  <cp:lastModifiedBy>ripleyj</cp:lastModifiedBy>
  <cp:revision>2</cp:revision>
  <cp:lastPrinted>2011-01-07T03:36:00Z</cp:lastPrinted>
  <dcterms:created xsi:type="dcterms:W3CDTF">2011-07-01T17:02:00Z</dcterms:created>
  <dcterms:modified xsi:type="dcterms:W3CDTF">2011-07-01T17:02:00Z</dcterms:modified>
</cp:coreProperties>
</file>